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3C850" w14:textId="77777777" w:rsidR="00C577D9" w:rsidRDefault="00C52813">
      <w:pPr>
        <w:widowControl/>
        <w:snapToGrid w:val="0"/>
        <w:jc w:val="center"/>
        <w:rPr>
          <w:b/>
          <w:bCs/>
          <w:sz w:val="36"/>
          <w:szCs w:val="24"/>
        </w:rPr>
      </w:pPr>
      <w:r>
        <w:rPr>
          <w:rFonts w:hint="eastAsia"/>
          <w:b/>
          <w:bCs/>
          <w:sz w:val="36"/>
          <w:szCs w:val="24"/>
        </w:rPr>
        <w:t>企业投融资决策虚拟仿真实验操作手册</w:t>
      </w:r>
    </w:p>
    <w:p w14:paraId="58E8541E" w14:textId="77777777" w:rsidR="00C577D9" w:rsidRDefault="00C577D9">
      <w:pPr>
        <w:widowControl/>
        <w:snapToGrid w:val="0"/>
        <w:jc w:val="center"/>
        <w:rPr>
          <w:rFonts w:ascii="黑体" w:eastAsia="黑体" w:hAnsi="黑体" w:cs="Calibri"/>
          <w:b/>
          <w:bCs/>
          <w:kern w:val="0"/>
          <w:sz w:val="32"/>
          <w:szCs w:val="32"/>
        </w:rPr>
      </w:pPr>
    </w:p>
    <w:p w14:paraId="63EFDF6F" w14:textId="77777777" w:rsidR="00C577D9" w:rsidRDefault="00C52813">
      <w:pPr>
        <w:widowControl/>
        <w:snapToGrid w:val="0"/>
        <w:rPr>
          <w:rFonts w:ascii="Calibri" w:eastAsia="宋体" w:hAnsi="Calibri" w:cs="Calibri"/>
          <w:kern w:val="0"/>
          <w:szCs w:val="21"/>
        </w:rPr>
      </w:pPr>
      <w:r>
        <w:rPr>
          <w:rFonts w:ascii="黑体" w:eastAsia="黑体" w:hAnsi="黑体" w:cs="Calibri" w:hint="eastAsia"/>
          <w:kern w:val="0"/>
          <w:sz w:val="28"/>
          <w:szCs w:val="28"/>
        </w:rPr>
        <w:t>一、实验课前准备</w:t>
      </w:r>
    </w:p>
    <w:p w14:paraId="045B8BAE" w14:textId="77777777" w:rsidR="00C577D9" w:rsidRDefault="00C52813">
      <w:pPr>
        <w:pStyle w:val="1"/>
        <w:widowControl/>
        <w:shd w:val="clear" w:color="auto" w:fill="FFFFFF"/>
        <w:spacing w:beforeAutospacing="0" w:afterAutospacing="0"/>
        <w:rPr>
          <w:rFonts w:ascii="Calibri" w:hAnsi="Calibri" w:cs="Calibri" w:hint="default"/>
          <w:b w:val="0"/>
          <w:kern w:val="0"/>
          <w:sz w:val="21"/>
          <w:szCs w:val="21"/>
        </w:rPr>
      </w:pPr>
      <w:r>
        <w:rPr>
          <w:rFonts w:ascii="Calibri" w:hAnsi="Calibri" w:cs="Calibri"/>
          <w:b w:val="0"/>
          <w:kern w:val="0"/>
          <w:sz w:val="21"/>
          <w:szCs w:val="21"/>
        </w:rPr>
        <w:t>1.</w:t>
      </w:r>
      <w:r>
        <w:rPr>
          <w:rFonts w:ascii="Calibri" w:hAnsi="Calibri" w:cs="Calibri"/>
          <w:b w:val="0"/>
          <w:kern w:val="0"/>
          <w:sz w:val="21"/>
          <w:szCs w:val="21"/>
        </w:rPr>
        <w:t>获取信息</w:t>
      </w:r>
      <w:r>
        <w:rPr>
          <w:rFonts w:ascii="Calibri" w:hAnsi="Calibri" w:cs="Calibri"/>
          <w:b w:val="0"/>
          <w:kern w:val="0"/>
          <w:sz w:val="21"/>
          <w:szCs w:val="21"/>
        </w:rPr>
        <w:t xml:space="preserve"> </w:t>
      </w:r>
      <w:r>
        <w:rPr>
          <w:rFonts w:ascii="Calibri" w:hAnsi="Calibri" w:cs="Calibri"/>
          <w:b w:val="0"/>
          <w:color w:val="FF0000"/>
          <w:kern w:val="0"/>
          <w:sz w:val="21"/>
          <w:szCs w:val="21"/>
        </w:rPr>
        <w:t>注：请使用</w:t>
      </w:r>
      <w:r>
        <w:rPr>
          <w:rFonts w:ascii="Calibri" w:hAnsi="Calibri" w:cs="Calibri"/>
          <w:b w:val="0"/>
          <w:color w:val="FF0000"/>
          <w:kern w:val="0"/>
          <w:sz w:val="21"/>
          <w:szCs w:val="21"/>
        </w:rPr>
        <w:t>InternetExplorer</w:t>
      </w:r>
      <w:r>
        <w:rPr>
          <w:rFonts w:ascii="Calibri" w:hAnsi="Calibri" w:cs="Calibri"/>
          <w:b w:val="0"/>
          <w:color w:val="FF0000"/>
          <w:kern w:val="0"/>
          <w:sz w:val="21"/>
          <w:szCs w:val="21"/>
        </w:rPr>
        <w:t>11</w:t>
      </w:r>
      <w:r>
        <w:rPr>
          <w:rFonts w:ascii="Calibri" w:hAnsi="Calibri" w:cs="Calibri"/>
          <w:b w:val="0"/>
          <w:color w:val="FF0000"/>
          <w:kern w:val="0"/>
          <w:sz w:val="21"/>
          <w:szCs w:val="21"/>
        </w:rPr>
        <w:t>浏览器</w:t>
      </w:r>
      <w:r>
        <w:rPr>
          <w:rFonts w:ascii="Calibri" w:hAnsi="Calibri" w:cs="Calibri"/>
          <w:b w:val="0"/>
          <w:color w:val="FF0000"/>
          <w:kern w:val="0"/>
          <w:sz w:val="21"/>
          <w:szCs w:val="21"/>
        </w:rPr>
        <w:t xml:space="preserve"> </w:t>
      </w:r>
      <w:r>
        <w:rPr>
          <w:rFonts w:ascii="Calibri" w:hAnsi="Calibri" w:cs="Calibri"/>
          <w:b w:val="0"/>
          <w:kern w:val="0"/>
          <w:sz w:val="21"/>
          <w:szCs w:val="21"/>
        </w:rPr>
        <w:t>获取信息</w:t>
      </w:r>
    </w:p>
    <w:p w14:paraId="470A4A55" w14:textId="77777777" w:rsidR="00C577D9" w:rsidRDefault="00C52813">
      <w:pPr>
        <w:widowControl/>
        <w:snapToGrid w:val="0"/>
        <w:jc w:val="left"/>
        <w:rPr>
          <w:rFonts w:ascii="Calibri" w:eastAsia="宋体" w:hAnsi="Calibri" w:cs="Calibri"/>
          <w:kern w:val="0"/>
          <w:szCs w:val="21"/>
        </w:rPr>
      </w:pPr>
      <w:r>
        <w:rPr>
          <w:rFonts w:ascii="Calibri" w:eastAsia="宋体" w:hAnsi="Calibri" w:cs="Calibri" w:hint="eastAsia"/>
          <w:kern w:val="0"/>
          <w:szCs w:val="21"/>
        </w:rPr>
        <w:t>点击</w:t>
      </w:r>
      <w:r>
        <w:rPr>
          <w:rFonts w:ascii="Calibri" w:eastAsia="宋体" w:hAnsi="Calibri" w:cs="Calibri" w:hint="eastAsia"/>
          <w:kern w:val="0"/>
          <w:szCs w:val="21"/>
        </w:rPr>
        <w:t>登录平台，</w:t>
      </w:r>
      <w:r>
        <w:rPr>
          <w:rFonts w:ascii="Calibri" w:eastAsia="宋体" w:hAnsi="Calibri" w:cs="Calibri" w:hint="eastAsia"/>
          <w:kern w:val="0"/>
          <w:szCs w:val="21"/>
        </w:rPr>
        <w:t>按提示进行</w:t>
      </w:r>
      <w:r>
        <w:rPr>
          <w:rFonts w:ascii="Calibri" w:eastAsia="宋体" w:hAnsi="Calibri" w:cs="Calibri" w:hint="eastAsia"/>
          <w:kern w:val="0"/>
          <w:szCs w:val="21"/>
        </w:rPr>
        <w:t>下载实验所需客户端，并进行安装操作</w:t>
      </w:r>
      <w:r>
        <w:rPr>
          <w:rFonts w:ascii="Calibri" w:eastAsia="宋体" w:hAnsi="Calibri" w:cs="Calibri" w:hint="eastAsia"/>
          <w:kern w:val="0"/>
          <w:szCs w:val="21"/>
        </w:rPr>
        <w:t>，</w:t>
      </w:r>
      <w:r>
        <w:rPr>
          <w:rFonts w:ascii="Calibri" w:eastAsia="宋体" w:hAnsi="Calibri" w:cs="Calibri" w:hint="eastAsia"/>
          <w:kern w:val="0"/>
          <w:szCs w:val="21"/>
        </w:rPr>
        <w:t>因安装包较大，请耐心等待。</w:t>
      </w:r>
    </w:p>
    <w:p w14:paraId="70D27A97" w14:textId="77777777" w:rsidR="00C577D9" w:rsidRDefault="00C52813">
      <w:pPr>
        <w:widowControl/>
        <w:snapToGrid w:val="0"/>
        <w:ind w:left="283"/>
        <w:jc w:val="left"/>
        <w:rPr>
          <w:rFonts w:ascii="Calibri" w:eastAsia="宋体" w:hAnsi="Calibri" w:cs="Calibri"/>
          <w:kern w:val="0"/>
          <w:szCs w:val="21"/>
        </w:rPr>
      </w:pPr>
      <w:r>
        <w:rPr>
          <w:noProof/>
        </w:rPr>
        <w:drawing>
          <wp:inline distT="0" distB="0" distL="0" distR="0" wp14:anchorId="24B12292" wp14:editId="3A87EFB7">
            <wp:extent cx="5274310" cy="25971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2597150"/>
                    </a:xfrm>
                    <a:prstGeom prst="rect">
                      <a:avLst/>
                    </a:prstGeom>
                  </pic:spPr>
                </pic:pic>
              </a:graphicData>
            </a:graphic>
          </wp:inline>
        </w:drawing>
      </w:r>
    </w:p>
    <w:p w14:paraId="55B5D948" w14:textId="77777777" w:rsidR="00C577D9" w:rsidRDefault="00C52813">
      <w:pPr>
        <w:widowControl/>
        <w:snapToGrid w:val="0"/>
        <w:spacing w:before="156" w:after="156"/>
        <w:ind w:left="285" w:hanging="285"/>
        <w:rPr>
          <w:rFonts w:ascii="宋体" w:eastAsia="宋体" w:hAnsi="宋体" w:cs="Calibri"/>
          <w:kern w:val="0"/>
          <w:szCs w:val="21"/>
        </w:rPr>
      </w:pPr>
      <w:r>
        <w:rPr>
          <w:rFonts w:ascii="宋体" w:eastAsia="宋体" w:hAnsi="宋体" w:cs="Calibri" w:hint="eastAsia"/>
          <w:b/>
          <w:bCs/>
          <w:kern w:val="0"/>
          <w:szCs w:val="21"/>
        </w:rPr>
        <w:t>2.</w:t>
      </w:r>
      <w:r>
        <w:rPr>
          <w:rFonts w:ascii="宋体" w:eastAsia="宋体" w:hAnsi="宋体" w:cs="Calibri" w:hint="eastAsia"/>
          <w:b/>
          <w:bCs/>
          <w:kern w:val="0"/>
          <w:szCs w:val="21"/>
        </w:rPr>
        <w:t>登录</w:t>
      </w:r>
      <w:r>
        <w:rPr>
          <w:rFonts w:ascii="宋体" w:eastAsia="宋体" w:hAnsi="宋体" w:cs="Calibri" w:hint="eastAsia"/>
          <w:b/>
          <w:bCs/>
          <w:kern w:val="0"/>
          <w:szCs w:val="21"/>
        </w:rPr>
        <w:t xml:space="preserve"> </w:t>
      </w:r>
      <w:r>
        <w:rPr>
          <w:rFonts w:ascii="宋体" w:eastAsia="宋体" w:hAnsi="宋体" w:cs="Calibri" w:hint="eastAsia"/>
          <w:kern w:val="0"/>
          <w:szCs w:val="21"/>
        </w:rPr>
        <w:t>安装包下载后，请点击登录</w:t>
      </w:r>
    </w:p>
    <w:p w14:paraId="3C5D84AF" w14:textId="77777777" w:rsidR="00C577D9" w:rsidRDefault="00C52813">
      <w:pPr>
        <w:widowControl/>
        <w:snapToGrid w:val="0"/>
        <w:spacing w:before="156" w:after="156"/>
        <w:ind w:left="283"/>
        <w:rPr>
          <w:rFonts w:ascii="Calibri" w:eastAsia="宋体" w:hAnsi="Calibri" w:cs="Calibri"/>
          <w:kern w:val="0"/>
          <w:szCs w:val="21"/>
        </w:rPr>
      </w:pPr>
      <w:r>
        <w:rPr>
          <w:rFonts w:ascii="宋体" w:eastAsia="宋体" w:hAnsi="宋体" w:cs="Calibri" w:hint="eastAsia"/>
          <w:kern w:val="0"/>
          <w:szCs w:val="21"/>
        </w:rPr>
        <w:t>学校信息选择：</w:t>
      </w:r>
      <w:r>
        <w:rPr>
          <w:rFonts w:ascii="宋体" w:eastAsia="宋体" w:hAnsi="宋体" w:cs="Calibri" w:hint="eastAsia"/>
          <w:color w:val="FF0000"/>
          <w:kern w:val="0"/>
          <w:szCs w:val="21"/>
        </w:rPr>
        <w:t>郑州经贸学院</w:t>
      </w:r>
      <w:r>
        <w:rPr>
          <w:rFonts w:ascii="宋体" w:eastAsia="宋体" w:hAnsi="宋体" w:cs="Calibri" w:hint="eastAsia"/>
          <w:kern w:val="0"/>
          <w:szCs w:val="21"/>
        </w:rPr>
        <w:t>；登录账号填入：</w:t>
      </w:r>
      <w:r>
        <w:rPr>
          <w:rFonts w:ascii="宋体" w:eastAsia="宋体" w:hAnsi="宋体" w:cs="Calibri" w:hint="eastAsia"/>
          <w:color w:val="FF0000"/>
          <w:kern w:val="0"/>
          <w:szCs w:val="21"/>
        </w:rPr>
        <w:t>1</w:t>
      </w:r>
      <w:r>
        <w:rPr>
          <w:rFonts w:ascii="宋体" w:eastAsia="宋体" w:hAnsi="宋体" w:cs="Calibri"/>
          <w:color w:val="FF0000"/>
          <w:kern w:val="0"/>
          <w:szCs w:val="21"/>
        </w:rPr>
        <w:t>23456</w:t>
      </w:r>
      <w:r>
        <w:rPr>
          <w:rFonts w:ascii="宋体" w:eastAsia="宋体" w:hAnsi="宋体" w:cs="Calibri" w:hint="eastAsia"/>
          <w:kern w:val="0"/>
          <w:szCs w:val="21"/>
        </w:rPr>
        <w:t>；密码信息填入：</w:t>
      </w:r>
      <w:r>
        <w:rPr>
          <w:rFonts w:ascii="宋体" w:eastAsia="宋体" w:hAnsi="宋体" w:cs="Calibri" w:hint="eastAsia"/>
          <w:color w:val="FF0000"/>
          <w:kern w:val="0"/>
          <w:szCs w:val="21"/>
        </w:rPr>
        <w:t>1</w:t>
      </w:r>
      <w:r>
        <w:rPr>
          <w:rFonts w:ascii="宋体" w:eastAsia="宋体" w:hAnsi="宋体" w:cs="Calibri"/>
          <w:color w:val="FF0000"/>
          <w:kern w:val="0"/>
          <w:szCs w:val="21"/>
        </w:rPr>
        <w:t>23456</w:t>
      </w:r>
      <w:r>
        <w:rPr>
          <w:rFonts w:ascii="宋体" w:eastAsia="宋体" w:hAnsi="宋体" w:cs="Calibri" w:hint="eastAsia"/>
          <w:kern w:val="0"/>
          <w:szCs w:val="21"/>
        </w:rPr>
        <w:t>→【登录】进入平台操作。</w:t>
      </w:r>
    </w:p>
    <w:p w14:paraId="6AB80C22" w14:textId="77777777" w:rsidR="00C577D9" w:rsidRDefault="00C52813">
      <w:pPr>
        <w:widowControl/>
        <w:snapToGrid w:val="0"/>
        <w:rPr>
          <w:rFonts w:ascii="Calibri" w:eastAsia="宋体" w:hAnsi="Calibri" w:cs="Calibri"/>
          <w:kern w:val="0"/>
          <w:szCs w:val="21"/>
        </w:rPr>
      </w:pPr>
      <w:r>
        <w:rPr>
          <w:noProof/>
        </w:rPr>
        <w:drawing>
          <wp:inline distT="0" distB="0" distL="0" distR="0" wp14:anchorId="0C040D8F" wp14:editId="1288E4C5">
            <wp:extent cx="5274310" cy="18738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1873885"/>
                    </a:xfrm>
                    <a:prstGeom prst="rect">
                      <a:avLst/>
                    </a:prstGeom>
                  </pic:spPr>
                </pic:pic>
              </a:graphicData>
            </a:graphic>
          </wp:inline>
        </w:drawing>
      </w:r>
    </w:p>
    <w:p w14:paraId="31B65709" w14:textId="77777777" w:rsidR="00C577D9" w:rsidRDefault="00C52813">
      <w:pPr>
        <w:widowControl/>
        <w:snapToGrid w:val="0"/>
        <w:spacing w:before="156" w:after="156"/>
        <w:ind w:left="285" w:hanging="285"/>
        <w:rPr>
          <w:rFonts w:ascii="Calibri" w:eastAsia="宋体" w:hAnsi="Calibri" w:cs="Calibri"/>
          <w:kern w:val="0"/>
          <w:szCs w:val="21"/>
        </w:rPr>
      </w:pPr>
      <w:r>
        <w:rPr>
          <w:rFonts w:ascii="宋体" w:eastAsia="宋体" w:hAnsi="宋体" w:cs="Calibri" w:hint="eastAsia"/>
          <w:b/>
          <w:bCs/>
          <w:kern w:val="0"/>
          <w:szCs w:val="21"/>
        </w:rPr>
        <w:t>3.</w:t>
      </w:r>
      <w:r>
        <w:rPr>
          <w:rFonts w:ascii="宋体" w:eastAsia="宋体" w:hAnsi="宋体" w:cs="Calibri" w:hint="eastAsia"/>
          <w:b/>
          <w:bCs/>
          <w:kern w:val="0"/>
          <w:szCs w:val="21"/>
        </w:rPr>
        <w:t>进入实验操作</w:t>
      </w:r>
    </w:p>
    <w:p w14:paraId="3B35B036" w14:textId="77777777" w:rsidR="00C577D9" w:rsidRDefault="00C52813">
      <w:pPr>
        <w:widowControl/>
        <w:snapToGrid w:val="0"/>
        <w:spacing w:before="156" w:after="156"/>
        <w:ind w:left="283"/>
        <w:rPr>
          <w:rFonts w:ascii="Calibri" w:eastAsia="宋体" w:hAnsi="Calibri" w:cs="Calibri"/>
          <w:kern w:val="0"/>
          <w:szCs w:val="21"/>
        </w:rPr>
      </w:pPr>
      <w:r>
        <w:rPr>
          <w:rFonts w:ascii="宋体" w:eastAsia="宋体" w:hAnsi="宋体" w:cs="Calibri" w:hint="eastAsia"/>
          <w:kern w:val="0"/>
          <w:szCs w:val="21"/>
        </w:rPr>
        <w:t>登录平台，点击“投融资虚拟仿真实验”进行前投资决策与融资决策的实验操作。</w:t>
      </w:r>
    </w:p>
    <w:p w14:paraId="15B5ED73" w14:textId="2E4A10DA" w:rsidR="00C577D9" w:rsidRDefault="00C52813">
      <w:pPr>
        <w:widowControl/>
        <w:snapToGrid w:val="0"/>
        <w:rPr>
          <w:rFonts w:ascii="宋体" w:eastAsia="宋体" w:hAnsi="宋体"/>
          <w:sz w:val="24"/>
          <w:szCs w:val="28"/>
        </w:rPr>
      </w:pPr>
      <w:r>
        <w:rPr>
          <w:noProof/>
        </w:rPr>
        <w:lastRenderedPageBreak/>
        <w:drawing>
          <wp:inline distT="0" distB="0" distL="0" distR="0" wp14:anchorId="341C22F8" wp14:editId="13812812">
            <wp:extent cx="5274310" cy="184721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847215"/>
                    </a:xfrm>
                    <a:prstGeom prst="rect">
                      <a:avLst/>
                    </a:prstGeom>
                    <a:noFill/>
                    <a:ln>
                      <a:noFill/>
                    </a:ln>
                  </pic:spPr>
                </pic:pic>
              </a:graphicData>
            </a:graphic>
          </wp:inline>
        </w:drawing>
      </w:r>
    </w:p>
    <w:p w14:paraId="7F63027B" w14:textId="77777777" w:rsidR="00C577D9" w:rsidRDefault="00C52813">
      <w:pPr>
        <w:rPr>
          <w:rFonts w:ascii="黑体" w:eastAsia="黑体" w:hAnsi="黑体"/>
          <w:sz w:val="28"/>
          <w:szCs w:val="32"/>
        </w:rPr>
      </w:pPr>
      <w:r>
        <w:rPr>
          <w:noProof/>
        </w:rPr>
        <w:drawing>
          <wp:inline distT="0" distB="0" distL="0" distR="0" wp14:anchorId="0878E3B7" wp14:editId="20C495C2">
            <wp:extent cx="5274310" cy="30981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098165"/>
                    </a:xfrm>
                    <a:prstGeom prst="rect">
                      <a:avLst/>
                    </a:prstGeom>
                  </pic:spPr>
                </pic:pic>
              </a:graphicData>
            </a:graphic>
          </wp:inline>
        </w:drawing>
      </w:r>
    </w:p>
    <w:p w14:paraId="1463213F" w14:textId="77777777" w:rsidR="00C577D9" w:rsidRDefault="00C577D9">
      <w:pPr>
        <w:rPr>
          <w:rFonts w:ascii="黑体" w:eastAsia="黑体" w:hAnsi="黑体"/>
          <w:sz w:val="28"/>
          <w:szCs w:val="32"/>
        </w:rPr>
      </w:pPr>
    </w:p>
    <w:p w14:paraId="39FF2B67" w14:textId="77777777" w:rsidR="00C577D9" w:rsidRDefault="00C577D9">
      <w:pPr>
        <w:rPr>
          <w:rFonts w:ascii="黑体" w:eastAsia="黑体" w:hAnsi="黑体"/>
          <w:sz w:val="28"/>
          <w:szCs w:val="32"/>
        </w:rPr>
      </w:pPr>
    </w:p>
    <w:p w14:paraId="0D30ED21" w14:textId="77777777" w:rsidR="00C577D9" w:rsidRDefault="00C577D9">
      <w:pPr>
        <w:rPr>
          <w:rFonts w:ascii="黑体" w:eastAsia="黑体" w:hAnsi="黑体"/>
          <w:sz w:val="28"/>
          <w:szCs w:val="32"/>
        </w:rPr>
      </w:pPr>
    </w:p>
    <w:p w14:paraId="2905D53E" w14:textId="77777777" w:rsidR="00C577D9" w:rsidRDefault="00C577D9">
      <w:pPr>
        <w:rPr>
          <w:rFonts w:ascii="黑体" w:eastAsia="黑体" w:hAnsi="黑体"/>
          <w:sz w:val="28"/>
          <w:szCs w:val="32"/>
        </w:rPr>
      </w:pPr>
    </w:p>
    <w:p w14:paraId="5FD28596" w14:textId="77777777" w:rsidR="00C577D9" w:rsidRDefault="00C577D9">
      <w:pPr>
        <w:rPr>
          <w:rFonts w:ascii="黑体" w:eastAsia="黑体" w:hAnsi="黑体"/>
          <w:sz w:val="28"/>
          <w:szCs w:val="32"/>
        </w:rPr>
      </w:pPr>
    </w:p>
    <w:p w14:paraId="2A5BB212" w14:textId="77777777" w:rsidR="00C577D9" w:rsidRDefault="00C577D9">
      <w:pPr>
        <w:rPr>
          <w:rFonts w:ascii="黑体" w:eastAsia="黑体" w:hAnsi="黑体"/>
          <w:sz w:val="28"/>
          <w:szCs w:val="32"/>
        </w:rPr>
      </w:pPr>
    </w:p>
    <w:p w14:paraId="1ACB2991" w14:textId="77777777" w:rsidR="00C577D9" w:rsidRDefault="00C577D9">
      <w:pPr>
        <w:rPr>
          <w:rFonts w:ascii="黑体" w:eastAsia="黑体" w:hAnsi="黑体"/>
          <w:sz w:val="28"/>
          <w:szCs w:val="32"/>
        </w:rPr>
      </w:pPr>
    </w:p>
    <w:p w14:paraId="7F066F05" w14:textId="77777777" w:rsidR="00C577D9" w:rsidRDefault="00C577D9">
      <w:pPr>
        <w:rPr>
          <w:rFonts w:ascii="黑体" w:eastAsia="黑体" w:hAnsi="黑体"/>
          <w:sz w:val="28"/>
          <w:szCs w:val="32"/>
        </w:rPr>
      </w:pPr>
    </w:p>
    <w:p w14:paraId="34DE20BB" w14:textId="77777777" w:rsidR="00C577D9" w:rsidRDefault="00C577D9">
      <w:pPr>
        <w:rPr>
          <w:rFonts w:ascii="黑体" w:eastAsia="黑体" w:hAnsi="黑体"/>
          <w:sz w:val="28"/>
          <w:szCs w:val="32"/>
        </w:rPr>
      </w:pPr>
    </w:p>
    <w:p w14:paraId="489A80F9" w14:textId="77777777" w:rsidR="00C577D9" w:rsidRDefault="00C52813">
      <w:pPr>
        <w:rPr>
          <w:rFonts w:ascii="黑体" w:eastAsia="黑体" w:hAnsi="黑体"/>
          <w:sz w:val="28"/>
          <w:szCs w:val="32"/>
        </w:rPr>
      </w:pPr>
      <w:r>
        <w:rPr>
          <w:rFonts w:ascii="黑体" w:eastAsia="黑体" w:hAnsi="黑体" w:hint="eastAsia"/>
          <w:sz w:val="28"/>
          <w:szCs w:val="32"/>
        </w:rPr>
        <w:lastRenderedPageBreak/>
        <w:t>二、进行投资决策实验操作</w:t>
      </w:r>
    </w:p>
    <w:p w14:paraId="6A529E88" w14:textId="77777777" w:rsidR="00C577D9" w:rsidRDefault="00C52813">
      <w:pPr>
        <w:widowControl/>
        <w:snapToGrid w:val="0"/>
        <w:spacing w:before="156" w:after="156"/>
        <w:ind w:left="285" w:hanging="285"/>
        <w:rPr>
          <w:rFonts w:ascii="宋体" w:eastAsia="宋体" w:hAnsi="宋体" w:cs="Calibri"/>
          <w:b/>
          <w:bCs/>
          <w:kern w:val="0"/>
          <w:szCs w:val="21"/>
        </w:rPr>
      </w:pPr>
      <w:r>
        <w:rPr>
          <w:rFonts w:ascii="宋体" w:eastAsia="宋体" w:hAnsi="宋体" w:cs="Calibri" w:hint="eastAsia"/>
          <w:b/>
          <w:bCs/>
          <w:kern w:val="0"/>
          <w:szCs w:val="21"/>
        </w:rPr>
        <w:t>1</w:t>
      </w:r>
      <w:r>
        <w:rPr>
          <w:rFonts w:ascii="宋体" w:eastAsia="宋体" w:hAnsi="宋体" w:cs="Calibri" w:hint="eastAsia"/>
          <w:b/>
          <w:bCs/>
          <w:kern w:val="0"/>
          <w:szCs w:val="21"/>
        </w:rPr>
        <w:t>、投资决策公司战略分析模块实验</w:t>
      </w:r>
    </w:p>
    <w:p w14:paraId="7E98AB95" w14:textId="77777777" w:rsidR="00C577D9" w:rsidRDefault="00C52813">
      <w:pPr>
        <w:widowControl/>
        <w:snapToGrid w:val="0"/>
        <w:spacing w:before="156" w:after="156"/>
        <w:ind w:left="285" w:hanging="285"/>
        <w:rPr>
          <w:rFonts w:ascii="Calibri" w:eastAsia="宋体" w:hAnsi="Calibri"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1</w:t>
      </w:r>
      <w:r>
        <w:rPr>
          <w:rFonts w:ascii="宋体" w:eastAsia="宋体" w:hAnsi="宋体" w:cs="Calibri" w:hint="eastAsia"/>
          <w:kern w:val="0"/>
          <w:szCs w:val="21"/>
        </w:rPr>
        <w:t>）获取案例数据</w:t>
      </w:r>
    </w:p>
    <w:p w14:paraId="41FB6DB6" w14:textId="77777777" w:rsidR="00C577D9" w:rsidRDefault="00C52813">
      <w:pPr>
        <w:widowControl/>
        <w:snapToGrid w:val="0"/>
        <w:spacing w:before="156" w:after="156"/>
        <w:ind w:left="283"/>
        <w:rPr>
          <w:rFonts w:ascii="Calibri" w:eastAsia="宋体" w:hAnsi="Calibri" w:cs="Calibri"/>
          <w:kern w:val="0"/>
          <w:szCs w:val="21"/>
        </w:rPr>
      </w:pPr>
      <w:r>
        <w:rPr>
          <w:rFonts w:ascii="宋体" w:eastAsia="宋体" w:hAnsi="宋体" w:cs="Calibri" w:hint="eastAsia"/>
          <w:kern w:val="0"/>
          <w:szCs w:val="21"/>
        </w:rPr>
        <w:t>点击专题进入数据界面。可以三种方式查看案例：点击图片直接查看案例、点击【打开</w:t>
      </w:r>
      <w:r>
        <w:rPr>
          <w:rFonts w:ascii="宋体" w:eastAsia="宋体" w:hAnsi="宋体" w:cs="Calibri" w:hint="eastAsia"/>
          <w:kern w:val="0"/>
          <w:szCs w:val="21"/>
        </w:rPr>
        <w:t>PDF</w:t>
      </w:r>
      <w:r>
        <w:rPr>
          <w:rFonts w:ascii="宋体" w:eastAsia="宋体" w:hAnsi="宋体" w:cs="Calibri" w:hint="eastAsia"/>
          <w:kern w:val="0"/>
          <w:szCs w:val="21"/>
        </w:rPr>
        <w:t>】查看</w:t>
      </w:r>
      <w:r>
        <w:rPr>
          <w:rFonts w:ascii="宋体" w:eastAsia="宋体" w:hAnsi="宋体" w:cs="Calibri" w:hint="eastAsia"/>
          <w:kern w:val="0"/>
          <w:szCs w:val="21"/>
        </w:rPr>
        <w:t>PDF</w:t>
      </w:r>
      <w:r>
        <w:rPr>
          <w:rFonts w:ascii="宋体" w:eastAsia="宋体" w:hAnsi="宋体" w:cs="Calibri" w:hint="eastAsia"/>
          <w:kern w:val="0"/>
          <w:szCs w:val="21"/>
        </w:rPr>
        <w:t>版案例、微信扫描二维码查看案例。</w:t>
      </w:r>
    </w:p>
    <w:p w14:paraId="65ACBF40" w14:textId="77777777" w:rsidR="00C577D9" w:rsidRDefault="00C52813">
      <w:pPr>
        <w:widowControl/>
        <w:snapToGrid w:val="0"/>
        <w:ind w:left="283"/>
        <w:rPr>
          <w:rFonts w:ascii="Calibri" w:eastAsia="宋体" w:hAnsi="Calibri" w:cs="Calibri"/>
          <w:kern w:val="0"/>
          <w:szCs w:val="21"/>
        </w:rPr>
      </w:pPr>
      <w:r>
        <w:rPr>
          <w:rFonts w:ascii="Calibri" w:eastAsia="宋体" w:hAnsi="Calibri" w:cs="Calibri"/>
          <w:kern w:val="0"/>
          <w:szCs w:val="21"/>
        </w:rPr>
        <w:t> </w:t>
      </w:r>
      <w:r>
        <w:rPr>
          <w:noProof/>
        </w:rPr>
        <w:drawing>
          <wp:inline distT="0" distB="0" distL="0" distR="0" wp14:anchorId="30B208BF" wp14:editId="390655FD">
            <wp:extent cx="5274310" cy="294449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
                    <a:stretch>
                      <a:fillRect/>
                    </a:stretch>
                  </pic:blipFill>
                  <pic:spPr>
                    <a:xfrm>
                      <a:off x="0" y="0"/>
                      <a:ext cx="5274310" cy="2944495"/>
                    </a:xfrm>
                    <a:prstGeom prst="rect">
                      <a:avLst/>
                    </a:prstGeom>
                  </pic:spPr>
                </pic:pic>
              </a:graphicData>
            </a:graphic>
          </wp:inline>
        </w:drawing>
      </w:r>
    </w:p>
    <w:p w14:paraId="2F31D5D0" w14:textId="77777777" w:rsidR="00C577D9" w:rsidRDefault="00C52813">
      <w:pPr>
        <w:widowControl/>
        <w:snapToGrid w:val="0"/>
        <w:spacing w:before="156" w:after="156"/>
        <w:ind w:left="285" w:hanging="285"/>
        <w:rPr>
          <w:rFonts w:ascii="Calibri" w:eastAsia="宋体" w:hAnsi="Calibri"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2</w:t>
      </w:r>
      <w:r>
        <w:rPr>
          <w:rFonts w:ascii="宋体" w:eastAsia="宋体" w:hAnsi="宋体" w:cs="Calibri" w:hint="eastAsia"/>
          <w:kern w:val="0"/>
          <w:szCs w:val="21"/>
        </w:rPr>
        <w:t>）查看岗位中心工作报告</w:t>
      </w:r>
    </w:p>
    <w:p w14:paraId="25E4650E" w14:textId="77777777" w:rsidR="00C577D9" w:rsidRDefault="00C52813">
      <w:pPr>
        <w:widowControl/>
        <w:snapToGrid w:val="0"/>
        <w:spacing w:before="156" w:after="156"/>
        <w:ind w:left="283"/>
        <w:rPr>
          <w:rFonts w:ascii="Calibri" w:eastAsia="宋体" w:hAnsi="Calibri" w:cs="Calibri"/>
          <w:kern w:val="0"/>
          <w:szCs w:val="21"/>
        </w:rPr>
      </w:pPr>
      <w:r>
        <w:rPr>
          <w:rFonts w:ascii="宋体" w:eastAsia="宋体" w:hAnsi="宋体" w:cs="Calibri" w:hint="eastAsia"/>
          <w:kern w:val="0"/>
          <w:szCs w:val="21"/>
        </w:rPr>
        <w:t>每个岗位中心下都设立一份岗位中心工作报告，点击【投资决策岗位】进入工作报告，通过对案例数据的处理，完成工作报告。</w:t>
      </w:r>
    </w:p>
    <w:p w14:paraId="4605916B" w14:textId="77777777" w:rsidR="00C577D9" w:rsidRDefault="00C52813">
      <w:pPr>
        <w:widowControl/>
        <w:snapToGrid w:val="0"/>
        <w:ind w:left="283"/>
        <w:rPr>
          <w:rFonts w:ascii="Calibri" w:eastAsia="宋体" w:hAnsi="Calibri" w:cs="Calibri"/>
          <w:kern w:val="0"/>
          <w:szCs w:val="21"/>
        </w:rPr>
      </w:pPr>
      <w:r>
        <w:rPr>
          <w:noProof/>
        </w:rPr>
        <w:lastRenderedPageBreak/>
        <w:drawing>
          <wp:inline distT="0" distB="0" distL="0" distR="0" wp14:anchorId="431D9324" wp14:editId="60A2A9D0">
            <wp:extent cx="5274310" cy="354711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5274310" cy="3547110"/>
                    </a:xfrm>
                    <a:prstGeom prst="rect">
                      <a:avLst/>
                    </a:prstGeom>
                  </pic:spPr>
                </pic:pic>
              </a:graphicData>
            </a:graphic>
          </wp:inline>
        </w:drawing>
      </w:r>
    </w:p>
    <w:p w14:paraId="5EA88CB6" w14:textId="77777777" w:rsidR="00C577D9" w:rsidRDefault="00C52813">
      <w:pPr>
        <w:widowControl/>
        <w:snapToGrid w:val="0"/>
        <w:spacing w:before="156" w:after="156" w:line="360" w:lineRule="auto"/>
        <w:ind w:left="285" w:hanging="285"/>
        <w:rPr>
          <w:rFonts w:ascii="宋体" w:eastAsia="宋体" w:hAnsi="宋体"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3</w:t>
      </w:r>
      <w:r>
        <w:rPr>
          <w:rFonts w:ascii="宋体" w:eastAsia="宋体" w:hAnsi="宋体" w:cs="Calibri" w:hint="eastAsia"/>
          <w:kern w:val="0"/>
          <w:szCs w:val="21"/>
        </w:rPr>
        <w:t>）判断公司</w:t>
      </w:r>
      <w:r>
        <w:rPr>
          <w:rFonts w:ascii="宋体" w:eastAsia="宋体" w:hAnsi="宋体" w:cs="Calibri"/>
          <w:kern w:val="0"/>
          <w:szCs w:val="21"/>
        </w:rPr>
        <w:t>2018</w:t>
      </w:r>
      <w:r>
        <w:rPr>
          <w:rFonts w:ascii="宋体" w:eastAsia="宋体" w:hAnsi="宋体" w:cs="Calibri"/>
          <w:kern w:val="0"/>
          <w:szCs w:val="21"/>
        </w:rPr>
        <w:t>年的战略形态</w:t>
      </w:r>
    </w:p>
    <w:p w14:paraId="032B0FF7" w14:textId="77777777" w:rsidR="00C577D9" w:rsidRDefault="00C52813">
      <w:pPr>
        <w:widowControl/>
        <w:snapToGrid w:val="0"/>
        <w:spacing w:before="156" w:after="156" w:line="360" w:lineRule="auto"/>
        <w:ind w:firstLineChars="200" w:firstLine="420"/>
        <w:rPr>
          <w:rFonts w:ascii="Calibri" w:eastAsia="宋体" w:hAnsi="Calibri" w:cs="Calibri"/>
          <w:kern w:val="0"/>
          <w:szCs w:val="21"/>
        </w:rPr>
      </w:pPr>
      <w:r>
        <w:rPr>
          <w:rFonts w:ascii="宋体" w:eastAsia="宋体" w:hAnsi="宋体" w:cs="Calibri" w:hint="eastAsia"/>
          <w:kern w:val="0"/>
          <w:szCs w:val="21"/>
        </w:rPr>
        <w:t>了解战略选择的方法在财务管理工具中打开【</w:t>
      </w:r>
      <w:r>
        <w:rPr>
          <w:rFonts w:ascii="宋体" w:eastAsia="宋体" w:hAnsi="宋体" w:cs="Calibri" w:hint="eastAsia"/>
          <w:kern w:val="0"/>
          <w:szCs w:val="21"/>
        </w:rPr>
        <w:t>SPACE</w:t>
      </w:r>
      <w:r>
        <w:rPr>
          <w:rFonts w:ascii="宋体" w:eastAsia="宋体" w:hAnsi="宋体" w:cs="Calibri" w:hint="eastAsia"/>
          <w:kern w:val="0"/>
          <w:szCs w:val="21"/>
        </w:rPr>
        <w:t>战略选择】工作表，查看战略选择步骤，了解企业战略形态判断的操作流程。</w:t>
      </w:r>
    </w:p>
    <w:p w14:paraId="26103526" w14:textId="77777777" w:rsidR="00C577D9" w:rsidRDefault="00C52813">
      <w:pPr>
        <w:widowControl/>
        <w:snapToGrid w:val="0"/>
        <w:spacing w:before="156" w:after="156" w:line="360" w:lineRule="auto"/>
        <w:ind w:left="285" w:hanging="285"/>
        <w:rPr>
          <w:rFonts w:ascii="宋体" w:eastAsia="宋体" w:hAnsi="宋体" w:cs="Calibri"/>
          <w:kern w:val="0"/>
          <w:szCs w:val="21"/>
        </w:rPr>
      </w:pPr>
      <w:r>
        <w:rPr>
          <w:noProof/>
        </w:rPr>
        <w:drawing>
          <wp:inline distT="0" distB="0" distL="0" distR="0" wp14:anchorId="5B597351" wp14:editId="11A9D3B4">
            <wp:extent cx="5274310" cy="16833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1683385"/>
                    </a:xfrm>
                    <a:prstGeom prst="rect">
                      <a:avLst/>
                    </a:prstGeom>
                  </pic:spPr>
                </pic:pic>
              </a:graphicData>
            </a:graphic>
          </wp:inline>
        </w:drawing>
      </w:r>
    </w:p>
    <w:p w14:paraId="56D3B20C" w14:textId="77777777" w:rsidR="00C577D9" w:rsidRDefault="00C52813">
      <w:pPr>
        <w:widowControl/>
        <w:snapToGrid w:val="0"/>
        <w:spacing w:before="156" w:after="156" w:line="360" w:lineRule="auto"/>
        <w:ind w:firstLineChars="200" w:firstLine="420"/>
        <w:rPr>
          <w:rFonts w:ascii="宋体" w:eastAsia="宋体" w:hAnsi="宋体" w:cs="Calibri"/>
          <w:kern w:val="0"/>
          <w:szCs w:val="21"/>
        </w:rPr>
      </w:pPr>
      <w:r>
        <w:rPr>
          <w:rFonts w:ascii="宋体" w:eastAsia="宋体" w:hAnsi="宋体" w:cs="Calibri" w:hint="eastAsia"/>
          <w:kern w:val="0"/>
          <w:szCs w:val="21"/>
        </w:rPr>
        <w:t>了解</w:t>
      </w:r>
      <w:r>
        <w:rPr>
          <w:rFonts w:ascii="宋体" w:eastAsia="宋体" w:hAnsi="宋体" w:cs="Calibri" w:hint="eastAsia"/>
          <w:kern w:val="0"/>
          <w:szCs w:val="21"/>
        </w:rPr>
        <w:t>SPACE</w:t>
      </w:r>
      <w:r>
        <w:rPr>
          <w:rFonts w:ascii="宋体" w:eastAsia="宋体" w:hAnsi="宋体" w:cs="Calibri" w:hint="eastAsia"/>
          <w:kern w:val="0"/>
          <w:szCs w:val="21"/>
        </w:rPr>
        <w:t>矩阵指标计算方法</w:t>
      </w:r>
      <w:r>
        <w:rPr>
          <w:rFonts w:ascii="Calibri" w:eastAsia="宋体" w:hAnsi="Calibri" w:cs="Calibri" w:hint="eastAsia"/>
          <w:kern w:val="0"/>
          <w:szCs w:val="21"/>
        </w:rPr>
        <w:t>。</w:t>
      </w:r>
      <w:r>
        <w:rPr>
          <w:rFonts w:ascii="宋体" w:eastAsia="宋体" w:hAnsi="宋体" w:cs="Calibri" w:hint="eastAsia"/>
          <w:kern w:val="0"/>
          <w:szCs w:val="21"/>
        </w:rPr>
        <w:t>结合【附</w:t>
      </w:r>
      <w:r>
        <w:rPr>
          <w:rFonts w:ascii="宋体" w:eastAsia="宋体" w:hAnsi="宋体" w:cs="Calibri" w:hint="eastAsia"/>
          <w:kern w:val="0"/>
          <w:szCs w:val="21"/>
        </w:rPr>
        <w:t>1-SPACE</w:t>
      </w:r>
      <w:r>
        <w:rPr>
          <w:rFonts w:ascii="宋体" w:eastAsia="宋体" w:hAnsi="宋体" w:cs="Calibri" w:hint="eastAsia"/>
          <w:kern w:val="0"/>
          <w:szCs w:val="21"/>
        </w:rPr>
        <w:t>矩阵指标计算（关键指标选取法）】工作表和【附</w:t>
      </w:r>
      <w:r>
        <w:rPr>
          <w:rFonts w:ascii="宋体" w:eastAsia="宋体" w:hAnsi="宋体" w:cs="Calibri" w:hint="eastAsia"/>
          <w:kern w:val="0"/>
          <w:szCs w:val="21"/>
        </w:rPr>
        <w:t>2-SPACE</w:t>
      </w:r>
      <w:r>
        <w:rPr>
          <w:rFonts w:ascii="宋体" w:eastAsia="宋体" w:hAnsi="宋体" w:cs="Calibri" w:hint="eastAsia"/>
          <w:kern w:val="0"/>
          <w:szCs w:val="21"/>
        </w:rPr>
        <w:t>矩阵指标计算（指标体系调研法）】工作表需要的数据，根据任务资料清单，判断应该使用</w:t>
      </w:r>
      <w:r>
        <w:rPr>
          <w:rFonts w:ascii="宋体" w:eastAsia="宋体" w:hAnsi="宋体" w:cs="Calibri" w:hint="eastAsia"/>
          <w:kern w:val="0"/>
          <w:szCs w:val="21"/>
        </w:rPr>
        <w:t>SPACE</w:t>
      </w:r>
      <w:r>
        <w:rPr>
          <w:rFonts w:ascii="宋体" w:eastAsia="宋体" w:hAnsi="宋体" w:cs="Calibri" w:hint="eastAsia"/>
          <w:kern w:val="0"/>
          <w:szCs w:val="21"/>
        </w:rPr>
        <w:t>矩阵指标计算的方法。选择关键指标选取法作为</w:t>
      </w:r>
      <w:r>
        <w:rPr>
          <w:rFonts w:ascii="宋体" w:eastAsia="宋体" w:hAnsi="宋体" w:cs="Calibri" w:hint="eastAsia"/>
          <w:kern w:val="0"/>
          <w:szCs w:val="21"/>
        </w:rPr>
        <w:t>SPACE</w:t>
      </w:r>
      <w:r>
        <w:rPr>
          <w:rFonts w:ascii="宋体" w:eastAsia="宋体" w:hAnsi="宋体" w:cs="Calibri" w:hint="eastAsia"/>
          <w:kern w:val="0"/>
          <w:szCs w:val="21"/>
        </w:rPr>
        <w:t>矩阵指标的计算方法，打开【附</w:t>
      </w:r>
      <w:r>
        <w:rPr>
          <w:rFonts w:ascii="宋体" w:eastAsia="宋体" w:hAnsi="宋体" w:cs="Calibri" w:hint="eastAsia"/>
          <w:kern w:val="0"/>
          <w:szCs w:val="21"/>
        </w:rPr>
        <w:t>1-SPACE</w:t>
      </w:r>
      <w:r>
        <w:rPr>
          <w:rFonts w:ascii="宋体" w:eastAsia="宋体" w:hAnsi="宋体" w:cs="Calibri" w:hint="eastAsia"/>
          <w:kern w:val="0"/>
          <w:szCs w:val="21"/>
        </w:rPr>
        <w:t>矩阵指标计算（关键指标选取法）】工作表。</w:t>
      </w:r>
    </w:p>
    <w:p w14:paraId="12624C88" w14:textId="77777777" w:rsidR="00C577D9" w:rsidRDefault="00C52813">
      <w:pPr>
        <w:widowControl/>
        <w:snapToGrid w:val="0"/>
        <w:spacing w:before="156" w:after="156" w:line="360" w:lineRule="auto"/>
        <w:ind w:firstLineChars="200" w:firstLine="420"/>
        <w:rPr>
          <w:rFonts w:ascii="宋体" w:eastAsia="宋体" w:hAnsi="宋体" w:cs="Calibri"/>
          <w:kern w:val="0"/>
          <w:szCs w:val="21"/>
        </w:rPr>
      </w:pPr>
      <w:r>
        <w:rPr>
          <w:rFonts w:ascii="宋体" w:eastAsia="宋体" w:hAnsi="宋体" w:cs="Calibri" w:hint="eastAsia"/>
          <w:kern w:val="0"/>
          <w:szCs w:val="21"/>
        </w:rPr>
        <w:t>选取反映财务优势的关键指标</w:t>
      </w:r>
      <w:r>
        <w:rPr>
          <w:rFonts w:ascii="Calibri" w:eastAsia="宋体" w:hAnsi="Calibri" w:cs="Calibri" w:hint="eastAsia"/>
          <w:kern w:val="0"/>
          <w:szCs w:val="21"/>
        </w:rPr>
        <w:t>。</w:t>
      </w:r>
      <w:r>
        <w:rPr>
          <w:rFonts w:ascii="宋体" w:eastAsia="宋体" w:hAnsi="宋体" w:cs="Calibri" w:hint="eastAsia"/>
          <w:kern w:val="0"/>
          <w:szCs w:val="21"/>
        </w:rPr>
        <w:t>根据</w:t>
      </w:r>
      <w:r>
        <w:rPr>
          <w:rFonts w:ascii="宋体" w:eastAsia="宋体" w:hAnsi="宋体" w:cs="Calibri" w:hint="eastAsia"/>
          <w:kern w:val="0"/>
          <w:szCs w:val="21"/>
        </w:rPr>
        <w:t>&lt;</w:t>
      </w:r>
      <w:r>
        <w:rPr>
          <w:rFonts w:ascii="宋体" w:eastAsia="宋体" w:hAnsi="宋体" w:cs="Calibri" w:hint="eastAsia"/>
          <w:kern w:val="0"/>
          <w:szCs w:val="21"/>
        </w:rPr>
        <w:t>资金优势指标统计表</w:t>
      </w:r>
      <w:r>
        <w:rPr>
          <w:rFonts w:ascii="宋体" w:eastAsia="宋体" w:hAnsi="宋体" w:cs="Calibri" w:hint="eastAsia"/>
          <w:kern w:val="0"/>
          <w:szCs w:val="21"/>
        </w:rPr>
        <w:t>&gt;</w:t>
      </w:r>
      <w:r>
        <w:rPr>
          <w:rFonts w:ascii="宋体" w:eastAsia="宋体" w:hAnsi="宋体" w:cs="Calibri" w:hint="eastAsia"/>
          <w:kern w:val="0"/>
          <w:szCs w:val="21"/>
        </w:rPr>
        <w:t>单据，注意关注单据中项目中心备注的财务指标选取的关键信息，从资料所提供的指标中选取反映财务优势指标的关键指标。</w:t>
      </w:r>
    </w:p>
    <w:p w14:paraId="601EAC89" w14:textId="77777777" w:rsidR="00C577D9" w:rsidRDefault="00C52813">
      <w:pPr>
        <w:widowControl/>
        <w:snapToGrid w:val="0"/>
        <w:spacing w:before="156" w:after="156" w:line="360" w:lineRule="auto"/>
        <w:jc w:val="center"/>
        <w:rPr>
          <w:rFonts w:ascii="Calibri" w:eastAsia="宋体" w:hAnsi="Calibri" w:cs="Calibri"/>
          <w:kern w:val="0"/>
          <w:szCs w:val="21"/>
        </w:rPr>
      </w:pPr>
      <w:r>
        <w:rPr>
          <w:noProof/>
        </w:rPr>
        <w:lastRenderedPageBreak/>
        <w:drawing>
          <wp:inline distT="0" distB="0" distL="0" distR="0" wp14:anchorId="3B2B5BBC" wp14:editId="096B0FBF">
            <wp:extent cx="4876800" cy="2809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876800" cy="2809875"/>
                    </a:xfrm>
                    <a:prstGeom prst="rect">
                      <a:avLst/>
                    </a:prstGeom>
                  </pic:spPr>
                </pic:pic>
              </a:graphicData>
            </a:graphic>
          </wp:inline>
        </w:drawing>
      </w:r>
    </w:p>
    <w:p w14:paraId="13CDE747" w14:textId="77777777" w:rsidR="00C577D9" w:rsidRDefault="00C52813">
      <w:pPr>
        <w:widowControl/>
        <w:snapToGrid w:val="0"/>
        <w:spacing w:before="156" w:after="156" w:line="360" w:lineRule="auto"/>
        <w:ind w:firstLineChars="200" w:firstLine="420"/>
        <w:rPr>
          <w:rFonts w:ascii="宋体" w:eastAsia="宋体" w:hAnsi="宋体" w:cs="Calibri"/>
          <w:kern w:val="0"/>
          <w:szCs w:val="21"/>
        </w:rPr>
      </w:pPr>
      <w:r>
        <w:rPr>
          <w:rFonts w:ascii="宋体" w:eastAsia="宋体" w:hAnsi="宋体" w:cs="Calibri" w:hint="eastAsia"/>
          <w:kern w:val="0"/>
          <w:szCs w:val="21"/>
        </w:rPr>
        <w:t>计算公司财务优势指标分值。根据同行业</w:t>
      </w:r>
      <w:r>
        <w:rPr>
          <w:rFonts w:ascii="宋体" w:eastAsia="宋体" w:hAnsi="宋体" w:cs="Calibri" w:hint="eastAsia"/>
          <w:kern w:val="0"/>
          <w:szCs w:val="21"/>
        </w:rPr>
        <w:t>财务优势关键指标值的排序结果和评分规则，计算公司</w:t>
      </w:r>
      <w:r>
        <w:rPr>
          <w:rFonts w:ascii="宋体" w:eastAsia="宋体" w:hAnsi="宋体" w:cs="Calibri" w:hint="eastAsia"/>
          <w:kern w:val="0"/>
          <w:szCs w:val="21"/>
        </w:rPr>
        <w:t>201</w:t>
      </w:r>
      <w:r>
        <w:rPr>
          <w:rFonts w:ascii="宋体" w:eastAsia="宋体" w:hAnsi="宋体" w:cs="Calibri"/>
          <w:kern w:val="0"/>
          <w:szCs w:val="21"/>
        </w:rPr>
        <w:t>8</w:t>
      </w:r>
      <w:r>
        <w:rPr>
          <w:rFonts w:ascii="宋体" w:eastAsia="宋体" w:hAnsi="宋体" w:cs="Calibri" w:hint="eastAsia"/>
          <w:kern w:val="0"/>
          <w:szCs w:val="21"/>
        </w:rPr>
        <w:t>年财务优势指标分值。</w:t>
      </w:r>
    </w:p>
    <w:p w14:paraId="5D2E4AA9" w14:textId="77777777" w:rsidR="00C577D9" w:rsidRDefault="00C52813">
      <w:pPr>
        <w:widowControl/>
        <w:snapToGrid w:val="0"/>
        <w:spacing w:before="156" w:after="156" w:line="360" w:lineRule="auto"/>
        <w:ind w:firstLineChars="100" w:firstLine="210"/>
        <w:rPr>
          <w:rFonts w:ascii="宋体" w:eastAsia="宋体" w:hAnsi="宋体" w:cs="Calibri"/>
          <w:kern w:val="0"/>
          <w:szCs w:val="21"/>
        </w:rPr>
      </w:pPr>
      <w:r>
        <w:rPr>
          <w:rFonts w:ascii="宋体" w:eastAsia="宋体" w:hAnsi="宋体" w:cs="Calibri" w:hint="eastAsia"/>
          <w:kern w:val="0"/>
          <w:szCs w:val="21"/>
        </w:rPr>
        <w:t>根据</w:t>
      </w:r>
      <w:r>
        <w:rPr>
          <w:rFonts w:ascii="宋体" w:eastAsia="宋体" w:hAnsi="宋体" w:cs="Calibri"/>
          <w:kern w:val="0"/>
          <w:szCs w:val="21"/>
        </w:rPr>
        <w:t>2 ~ 5</w:t>
      </w:r>
      <w:r>
        <w:rPr>
          <w:rFonts w:ascii="宋体" w:eastAsia="宋体" w:hAnsi="宋体" w:cs="Calibri"/>
          <w:kern w:val="0"/>
          <w:szCs w:val="21"/>
        </w:rPr>
        <w:t>步骤，在【附</w:t>
      </w:r>
      <w:r>
        <w:rPr>
          <w:rFonts w:ascii="宋体" w:eastAsia="宋体" w:hAnsi="宋体" w:cs="Calibri"/>
          <w:kern w:val="0"/>
          <w:szCs w:val="21"/>
        </w:rPr>
        <w:t>1-SPACE</w:t>
      </w:r>
      <w:r>
        <w:rPr>
          <w:rFonts w:ascii="宋体" w:eastAsia="宋体" w:hAnsi="宋体" w:cs="Calibri"/>
          <w:kern w:val="0"/>
          <w:szCs w:val="21"/>
        </w:rPr>
        <w:t>矩阵指标计算（指标体系调研法）】工作表中，根据任务案例资料，计算竞争优势关键指标、产业优势关键指标、环境稳定性关键指标的指标分值。</w:t>
      </w:r>
    </w:p>
    <w:p w14:paraId="53F31441" w14:textId="77777777" w:rsidR="00C577D9" w:rsidRDefault="00C52813">
      <w:pPr>
        <w:widowControl/>
        <w:snapToGrid w:val="0"/>
        <w:spacing w:before="156" w:after="156" w:line="360" w:lineRule="auto"/>
        <w:ind w:firstLineChars="100" w:firstLine="210"/>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SPACE</w:t>
      </w:r>
      <w:r>
        <w:rPr>
          <w:rFonts w:ascii="宋体" w:eastAsia="宋体" w:hAnsi="宋体" w:cs="宋体" w:hint="eastAsia"/>
          <w:szCs w:val="21"/>
        </w:rPr>
        <w:t>矩阵指标分值，参考战略形态图示，使用</w:t>
      </w:r>
      <w:r>
        <w:rPr>
          <w:rFonts w:ascii="宋体" w:eastAsia="宋体" w:hAnsi="宋体" w:cs="宋体" w:hint="eastAsia"/>
          <w:szCs w:val="21"/>
        </w:rPr>
        <w:t>Excel</w:t>
      </w:r>
      <w:r>
        <w:rPr>
          <w:rFonts w:ascii="宋体" w:eastAsia="宋体" w:hAnsi="宋体" w:cs="宋体" w:hint="eastAsia"/>
          <w:szCs w:val="21"/>
        </w:rPr>
        <w:t>自带的绘图工具，绘制</w:t>
      </w:r>
      <w:r>
        <w:rPr>
          <w:rFonts w:ascii="宋体" w:eastAsia="宋体" w:hAnsi="宋体" w:cs="宋体" w:hint="eastAsia"/>
          <w:szCs w:val="21"/>
        </w:rPr>
        <w:t>201</w:t>
      </w:r>
      <w:r>
        <w:rPr>
          <w:rFonts w:ascii="宋体" w:eastAsia="宋体" w:hAnsi="宋体" w:cs="宋体"/>
          <w:szCs w:val="21"/>
        </w:rPr>
        <w:t>8</w:t>
      </w:r>
      <w:r>
        <w:rPr>
          <w:rFonts w:ascii="宋体" w:eastAsia="宋体" w:hAnsi="宋体" w:cs="宋体" w:hint="eastAsia"/>
          <w:szCs w:val="21"/>
        </w:rPr>
        <w:t>年战略形态图。</w:t>
      </w:r>
    </w:p>
    <w:p w14:paraId="2F5CD9CE" w14:textId="77777777" w:rsidR="00C577D9" w:rsidRDefault="00C52813">
      <w:pPr>
        <w:widowControl/>
        <w:snapToGrid w:val="0"/>
        <w:spacing w:before="156" w:after="156" w:line="360" w:lineRule="auto"/>
        <w:jc w:val="center"/>
        <w:rPr>
          <w:rFonts w:ascii="宋体" w:eastAsia="宋体" w:hAnsi="宋体" w:cs="Calibri"/>
          <w:kern w:val="0"/>
          <w:szCs w:val="21"/>
        </w:rPr>
      </w:pPr>
      <w:r>
        <w:rPr>
          <w:rFonts w:ascii="宋体" w:eastAsia="宋体" w:hAnsi="宋体"/>
          <w:noProof/>
          <w:szCs w:val="21"/>
        </w:rPr>
        <w:drawing>
          <wp:inline distT="0" distB="0" distL="0" distR="0" wp14:anchorId="6B47BAB2" wp14:editId="39D2343A">
            <wp:extent cx="5274310" cy="27622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2762250"/>
                    </a:xfrm>
                    <a:prstGeom prst="rect">
                      <a:avLst/>
                    </a:prstGeom>
                  </pic:spPr>
                </pic:pic>
              </a:graphicData>
            </a:graphic>
          </wp:inline>
        </w:drawing>
      </w:r>
    </w:p>
    <w:p w14:paraId="181C85A9" w14:textId="77777777" w:rsidR="00C577D9" w:rsidRDefault="00C52813">
      <w:pPr>
        <w:widowControl/>
        <w:snapToGrid w:val="0"/>
        <w:spacing w:before="156" w:after="156" w:line="360" w:lineRule="auto"/>
        <w:ind w:firstLineChars="200" w:firstLine="420"/>
        <w:jc w:val="left"/>
        <w:rPr>
          <w:rFonts w:ascii="宋体" w:eastAsia="宋体" w:hAnsi="宋体"/>
          <w:szCs w:val="21"/>
        </w:rPr>
      </w:pPr>
      <w:r>
        <w:rPr>
          <w:rFonts w:ascii="宋体" w:eastAsia="宋体" w:hAnsi="宋体" w:hint="eastAsia"/>
          <w:szCs w:val="21"/>
        </w:rPr>
        <w:t>将</w:t>
      </w:r>
      <w:r>
        <w:rPr>
          <w:rFonts w:ascii="宋体" w:eastAsia="宋体" w:hAnsi="宋体" w:hint="eastAsia"/>
          <w:szCs w:val="21"/>
        </w:rPr>
        <w:t>X</w:t>
      </w:r>
      <w:r>
        <w:rPr>
          <w:rFonts w:ascii="宋体" w:eastAsia="宋体" w:hAnsi="宋体" w:hint="eastAsia"/>
          <w:szCs w:val="21"/>
        </w:rPr>
        <w:t>轴的两个分数相加，将结果标在</w:t>
      </w:r>
      <w:r>
        <w:rPr>
          <w:rFonts w:ascii="宋体" w:eastAsia="宋体" w:hAnsi="宋体" w:hint="eastAsia"/>
          <w:szCs w:val="21"/>
        </w:rPr>
        <w:t>X</w:t>
      </w:r>
      <w:r>
        <w:rPr>
          <w:rFonts w:ascii="宋体" w:eastAsia="宋体" w:hAnsi="宋体" w:hint="eastAsia"/>
          <w:szCs w:val="21"/>
        </w:rPr>
        <w:t>轴上；将</w:t>
      </w:r>
      <w:r>
        <w:rPr>
          <w:rFonts w:ascii="宋体" w:eastAsia="宋体" w:hAnsi="宋体" w:hint="eastAsia"/>
          <w:szCs w:val="21"/>
        </w:rPr>
        <w:t>Y</w:t>
      </w:r>
      <w:r>
        <w:rPr>
          <w:rFonts w:ascii="宋体" w:eastAsia="宋体" w:hAnsi="宋体" w:hint="eastAsia"/>
          <w:szCs w:val="21"/>
        </w:rPr>
        <w:t>轴的两个分数相加，将结果标在</w:t>
      </w:r>
      <w:r>
        <w:rPr>
          <w:rFonts w:ascii="宋体" w:eastAsia="宋体" w:hAnsi="宋体" w:hint="eastAsia"/>
          <w:szCs w:val="21"/>
        </w:rPr>
        <w:t>Y</w:t>
      </w:r>
      <w:r>
        <w:rPr>
          <w:rFonts w:ascii="宋体" w:eastAsia="宋体" w:hAnsi="宋体" w:hint="eastAsia"/>
          <w:szCs w:val="21"/>
        </w:rPr>
        <w:t>轴上；标出</w:t>
      </w:r>
      <w:r>
        <w:rPr>
          <w:rFonts w:ascii="宋体" w:eastAsia="宋体" w:hAnsi="宋体" w:hint="eastAsia"/>
          <w:szCs w:val="21"/>
        </w:rPr>
        <w:t>X</w:t>
      </w:r>
      <w:r>
        <w:rPr>
          <w:rFonts w:ascii="宋体" w:eastAsia="宋体" w:hAnsi="宋体" w:hint="eastAsia"/>
          <w:szCs w:val="21"/>
        </w:rPr>
        <w:t>、</w:t>
      </w:r>
      <w:r>
        <w:rPr>
          <w:rFonts w:ascii="宋体" w:eastAsia="宋体" w:hAnsi="宋体" w:hint="eastAsia"/>
          <w:szCs w:val="21"/>
        </w:rPr>
        <w:t>Y</w:t>
      </w:r>
      <w:r>
        <w:rPr>
          <w:rFonts w:ascii="宋体" w:eastAsia="宋体" w:hAnsi="宋体" w:hint="eastAsia"/>
          <w:szCs w:val="21"/>
        </w:rPr>
        <w:t>数轴的交叉点；绘制战略形态向量。</w:t>
      </w:r>
    </w:p>
    <w:p w14:paraId="1940655C" w14:textId="77777777" w:rsidR="00C577D9" w:rsidRDefault="00C52813">
      <w:pPr>
        <w:widowControl/>
        <w:snapToGrid w:val="0"/>
        <w:spacing w:before="156" w:after="156"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502A6EC2" wp14:editId="06E7F294">
            <wp:extent cx="5274310" cy="243713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74310" cy="2437130"/>
                    </a:xfrm>
                    <a:prstGeom prst="rect">
                      <a:avLst/>
                    </a:prstGeom>
                  </pic:spPr>
                </pic:pic>
              </a:graphicData>
            </a:graphic>
          </wp:inline>
        </w:drawing>
      </w:r>
    </w:p>
    <w:p w14:paraId="567D4067" w14:textId="77777777" w:rsidR="00C577D9" w:rsidRDefault="00C52813">
      <w:pPr>
        <w:pStyle w:val="a7"/>
        <w:snapToGrid w:val="0"/>
        <w:spacing w:before="156" w:after="156" w:line="360" w:lineRule="auto"/>
        <w:ind w:firstLineChars="100" w:firstLine="210"/>
        <w:rPr>
          <w:rFonts w:ascii="宋体" w:hAnsi="宋体"/>
        </w:rPr>
      </w:pPr>
      <w:r>
        <w:rPr>
          <w:rFonts w:ascii="宋体" w:hAnsi="宋体" w:hint="eastAsia"/>
        </w:rPr>
        <w:t>根据绘制</w:t>
      </w:r>
      <w:r>
        <w:rPr>
          <w:rFonts w:ascii="宋体" w:hAnsi="宋体" w:hint="eastAsia"/>
        </w:rPr>
        <w:t>201</w:t>
      </w:r>
      <w:r>
        <w:rPr>
          <w:rFonts w:ascii="宋体" w:hAnsi="宋体"/>
        </w:rPr>
        <w:t>8</w:t>
      </w:r>
      <w:r>
        <w:rPr>
          <w:rFonts w:ascii="宋体" w:hAnsi="宋体" w:hint="eastAsia"/>
        </w:rPr>
        <w:t>年战略形态图，结合战略形态图示，判断公司</w:t>
      </w:r>
      <w:r>
        <w:rPr>
          <w:rFonts w:ascii="宋体" w:hAnsi="宋体" w:hint="eastAsia"/>
        </w:rPr>
        <w:t>201</w:t>
      </w:r>
      <w:r>
        <w:rPr>
          <w:rFonts w:ascii="宋体" w:hAnsi="宋体"/>
        </w:rPr>
        <w:t>8</w:t>
      </w:r>
      <w:r>
        <w:rPr>
          <w:rFonts w:ascii="宋体" w:hAnsi="宋体" w:hint="eastAsia"/>
        </w:rPr>
        <w:t>年的战略形态，并且在任务清单中做出选择。</w:t>
      </w:r>
    </w:p>
    <w:p w14:paraId="1E1CA249" w14:textId="77777777" w:rsidR="00C577D9" w:rsidRDefault="00C52813">
      <w:pPr>
        <w:widowControl/>
        <w:snapToGrid w:val="0"/>
        <w:spacing w:line="360" w:lineRule="auto"/>
        <w:jc w:val="left"/>
        <w:rPr>
          <w:rFonts w:ascii="宋体" w:eastAsia="宋体" w:hAnsi="宋体"/>
          <w:szCs w:val="21"/>
        </w:rPr>
      </w:pPr>
      <w:bookmarkStart w:id="0" w:name="_Toc499714494"/>
      <w:r>
        <w:rPr>
          <w:rFonts w:ascii="宋体" w:eastAsia="宋体" w:hAnsi="宋体" w:hint="eastAsia"/>
          <w:szCs w:val="21"/>
        </w:rPr>
        <w:t>（</w:t>
      </w:r>
      <w:r>
        <w:rPr>
          <w:rFonts w:ascii="宋体" w:eastAsia="宋体" w:hAnsi="宋体" w:hint="eastAsia"/>
          <w:szCs w:val="21"/>
        </w:rPr>
        <w:t>4</w:t>
      </w:r>
      <w:r>
        <w:rPr>
          <w:rFonts w:ascii="宋体" w:eastAsia="宋体" w:hAnsi="宋体" w:hint="eastAsia"/>
          <w:szCs w:val="21"/>
        </w:rPr>
        <w:t>）判断公司</w:t>
      </w:r>
      <w:r>
        <w:rPr>
          <w:rFonts w:ascii="宋体" w:eastAsia="宋体" w:hAnsi="宋体" w:hint="eastAsia"/>
          <w:szCs w:val="21"/>
        </w:rPr>
        <w:t>201</w:t>
      </w:r>
      <w:r>
        <w:rPr>
          <w:rFonts w:ascii="宋体" w:eastAsia="宋体" w:hAnsi="宋体"/>
          <w:szCs w:val="21"/>
        </w:rPr>
        <w:t>9</w:t>
      </w:r>
      <w:r>
        <w:rPr>
          <w:rFonts w:ascii="宋体" w:eastAsia="宋体" w:hAnsi="宋体" w:hint="eastAsia"/>
          <w:szCs w:val="21"/>
        </w:rPr>
        <w:t>年的战略形态</w:t>
      </w:r>
      <w:bookmarkEnd w:id="0"/>
    </w:p>
    <w:p w14:paraId="4B8A8F74" w14:textId="77777777" w:rsidR="00C577D9" w:rsidRDefault="00C52813">
      <w:pPr>
        <w:widowControl/>
        <w:snapToGrid w:val="0"/>
        <w:spacing w:line="360" w:lineRule="auto"/>
        <w:ind w:firstLineChars="200" w:firstLine="420"/>
        <w:rPr>
          <w:rFonts w:ascii="宋体" w:eastAsia="宋体" w:hAnsi="宋体" w:cs="Calibri"/>
          <w:kern w:val="0"/>
          <w:szCs w:val="21"/>
        </w:rPr>
      </w:pPr>
      <w:r>
        <w:rPr>
          <w:rFonts w:ascii="宋体" w:eastAsia="宋体" w:hAnsi="宋体" w:cs="Calibri" w:hint="eastAsia"/>
          <w:kern w:val="0"/>
          <w:szCs w:val="21"/>
        </w:rPr>
        <w:t>更新</w:t>
      </w:r>
      <w:r>
        <w:rPr>
          <w:rFonts w:ascii="宋体" w:eastAsia="宋体" w:hAnsi="宋体" w:cs="Calibri" w:hint="eastAsia"/>
          <w:kern w:val="0"/>
          <w:szCs w:val="21"/>
        </w:rPr>
        <w:t>201</w:t>
      </w:r>
      <w:r>
        <w:rPr>
          <w:rFonts w:ascii="宋体" w:eastAsia="宋体" w:hAnsi="宋体" w:cs="Calibri"/>
          <w:kern w:val="0"/>
          <w:szCs w:val="21"/>
        </w:rPr>
        <w:t>9</w:t>
      </w:r>
      <w:r>
        <w:rPr>
          <w:rFonts w:ascii="宋体" w:eastAsia="宋体" w:hAnsi="宋体" w:cs="Calibri" w:hint="eastAsia"/>
          <w:kern w:val="0"/>
          <w:szCs w:val="21"/>
        </w:rPr>
        <w:t>年财务优势关键指标值。根据长城实业董事长在股东会纪要中提出的</w:t>
      </w:r>
      <w:r>
        <w:rPr>
          <w:rFonts w:ascii="宋体" w:eastAsia="宋体" w:hAnsi="宋体" w:cs="Calibri" w:hint="eastAsia"/>
          <w:kern w:val="0"/>
          <w:szCs w:val="21"/>
        </w:rPr>
        <w:t>201</w:t>
      </w:r>
      <w:r>
        <w:rPr>
          <w:rFonts w:ascii="宋体" w:eastAsia="宋体" w:hAnsi="宋体" w:cs="Calibri"/>
          <w:kern w:val="0"/>
          <w:szCs w:val="21"/>
        </w:rPr>
        <w:t>9</w:t>
      </w:r>
      <w:r>
        <w:rPr>
          <w:rFonts w:ascii="宋体" w:eastAsia="宋体" w:hAnsi="宋体" w:cs="Calibri" w:hint="eastAsia"/>
          <w:kern w:val="0"/>
          <w:szCs w:val="21"/>
        </w:rPr>
        <w:t>年发展战略，选取反映财务优势指标的关键信息。</w:t>
      </w:r>
    </w:p>
    <w:p w14:paraId="1DAE332E" w14:textId="77777777" w:rsidR="00C577D9" w:rsidRDefault="00C52813">
      <w:pPr>
        <w:widowControl/>
        <w:snapToGrid w:val="0"/>
        <w:spacing w:line="360" w:lineRule="auto"/>
        <w:ind w:firstLineChars="200" w:firstLine="420"/>
        <w:rPr>
          <w:rFonts w:ascii="宋体" w:eastAsia="宋体" w:hAnsi="宋体" w:cs="Calibri"/>
          <w:kern w:val="0"/>
          <w:szCs w:val="21"/>
        </w:rPr>
      </w:pPr>
      <w:r>
        <w:rPr>
          <w:rFonts w:ascii="宋体" w:eastAsia="宋体" w:hAnsi="宋体" w:cs="Calibri" w:hint="eastAsia"/>
          <w:kern w:val="0"/>
          <w:szCs w:val="21"/>
        </w:rPr>
        <w:t>计算</w:t>
      </w:r>
      <w:r>
        <w:rPr>
          <w:rFonts w:ascii="宋体" w:eastAsia="宋体" w:hAnsi="宋体" w:cs="Calibri" w:hint="eastAsia"/>
          <w:kern w:val="0"/>
          <w:szCs w:val="21"/>
        </w:rPr>
        <w:t>201</w:t>
      </w:r>
      <w:r>
        <w:rPr>
          <w:rFonts w:ascii="宋体" w:eastAsia="宋体" w:hAnsi="宋体" w:cs="Calibri"/>
          <w:kern w:val="0"/>
          <w:szCs w:val="21"/>
        </w:rPr>
        <w:t>9</w:t>
      </w:r>
      <w:r>
        <w:rPr>
          <w:rFonts w:ascii="宋体" w:eastAsia="宋体" w:hAnsi="宋体" w:cs="Calibri" w:hint="eastAsia"/>
          <w:kern w:val="0"/>
          <w:szCs w:val="21"/>
        </w:rPr>
        <w:t>财务优势指标分值。在</w:t>
      </w:r>
      <w:r>
        <w:rPr>
          <w:rFonts w:ascii="宋体" w:eastAsia="宋体" w:hAnsi="宋体" w:cs="Calibri" w:hint="eastAsia"/>
          <w:kern w:val="0"/>
          <w:szCs w:val="21"/>
        </w:rPr>
        <w:t>201</w:t>
      </w:r>
      <w:r>
        <w:rPr>
          <w:rFonts w:ascii="宋体" w:eastAsia="宋体" w:hAnsi="宋体" w:cs="Calibri"/>
          <w:kern w:val="0"/>
          <w:szCs w:val="21"/>
        </w:rPr>
        <w:t>8</w:t>
      </w:r>
      <w:r>
        <w:rPr>
          <w:rFonts w:ascii="宋体" w:eastAsia="宋体" w:hAnsi="宋体" w:cs="Calibri" w:hint="eastAsia"/>
          <w:kern w:val="0"/>
          <w:szCs w:val="21"/>
        </w:rPr>
        <w:t>年指标分值结算表中，将长城实业的</w:t>
      </w:r>
      <w:r>
        <w:rPr>
          <w:rFonts w:ascii="宋体" w:eastAsia="宋体" w:hAnsi="宋体" w:cs="Calibri" w:hint="eastAsia"/>
          <w:kern w:val="0"/>
          <w:szCs w:val="21"/>
        </w:rPr>
        <w:t>201</w:t>
      </w:r>
      <w:r>
        <w:rPr>
          <w:rFonts w:ascii="宋体" w:eastAsia="宋体" w:hAnsi="宋体" w:cs="Calibri"/>
          <w:kern w:val="0"/>
          <w:szCs w:val="21"/>
        </w:rPr>
        <w:t>8</w:t>
      </w:r>
      <w:r>
        <w:rPr>
          <w:rFonts w:ascii="宋体" w:eastAsia="宋体" w:hAnsi="宋体" w:cs="Calibri" w:hint="eastAsia"/>
          <w:kern w:val="0"/>
          <w:szCs w:val="21"/>
        </w:rPr>
        <w:t>年的指标值替换为</w:t>
      </w:r>
      <w:r>
        <w:rPr>
          <w:rFonts w:ascii="宋体" w:eastAsia="宋体" w:hAnsi="宋体" w:cs="Calibri" w:hint="eastAsia"/>
          <w:kern w:val="0"/>
          <w:szCs w:val="21"/>
        </w:rPr>
        <w:t>201</w:t>
      </w:r>
      <w:r>
        <w:rPr>
          <w:rFonts w:ascii="宋体" w:eastAsia="宋体" w:hAnsi="宋体" w:cs="Calibri"/>
          <w:kern w:val="0"/>
          <w:szCs w:val="21"/>
        </w:rPr>
        <w:t>9</w:t>
      </w:r>
      <w:r>
        <w:rPr>
          <w:rFonts w:ascii="宋体" w:eastAsia="宋体" w:hAnsi="宋体" w:cs="Calibri" w:hint="eastAsia"/>
          <w:kern w:val="0"/>
          <w:szCs w:val="21"/>
        </w:rPr>
        <w:t>年财务优势关键指标值，并重新计算公司</w:t>
      </w:r>
      <w:r>
        <w:rPr>
          <w:rFonts w:ascii="宋体" w:eastAsia="宋体" w:hAnsi="宋体" w:cs="Calibri" w:hint="eastAsia"/>
          <w:kern w:val="0"/>
          <w:szCs w:val="21"/>
        </w:rPr>
        <w:t>201</w:t>
      </w:r>
      <w:r>
        <w:rPr>
          <w:rFonts w:ascii="宋体" w:eastAsia="宋体" w:hAnsi="宋体" w:cs="Calibri"/>
          <w:kern w:val="0"/>
          <w:szCs w:val="21"/>
        </w:rPr>
        <w:t>9</w:t>
      </w:r>
      <w:r>
        <w:rPr>
          <w:rFonts w:ascii="宋体" w:eastAsia="宋体" w:hAnsi="宋体" w:cs="Calibri" w:hint="eastAsia"/>
          <w:kern w:val="0"/>
          <w:szCs w:val="21"/>
        </w:rPr>
        <w:t>年的</w:t>
      </w:r>
      <w:r>
        <w:rPr>
          <w:rFonts w:ascii="宋体" w:eastAsia="宋体" w:hAnsi="宋体" w:cs="Calibri" w:hint="eastAsia"/>
          <w:kern w:val="0"/>
          <w:szCs w:val="21"/>
        </w:rPr>
        <w:t>SPACE</w:t>
      </w:r>
      <w:r>
        <w:rPr>
          <w:rFonts w:ascii="宋体" w:eastAsia="宋体" w:hAnsi="宋体" w:cs="Calibri" w:hint="eastAsia"/>
          <w:kern w:val="0"/>
          <w:szCs w:val="21"/>
        </w:rPr>
        <w:t>矩阵指标分值。</w:t>
      </w:r>
    </w:p>
    <w:p w14:paraId="3EEE1D9D" w14:textId="77777777" w:rsidR="00C577D9" w:rsidRDefault="00C52813">
      <w:pPr>
        <w:widowControl/>
        <w:snapToGrid w:val="0"/>
        <w:spacing w:line="360" w:lineRule="auto"/>
        <w:ind w:firstLineChars="200" w:firstLine="420"/>
        <w:rPr>
          <w:rFonts w:ascii="宋体" w:eastAsia="宋体" w:hAnsi="宋体" w:cs="Calibri"/>
          <w:kern w:val="0"/>
          <w:szCs w:val="21"/>
        </w:rPr>
      </w:pPr>
      <w:r>
        <w:rPr>
          <w:rFonts w:ascii="宋体" w:eastAsia="宋体" w:hAnsi="宋体" w:cs="Calibri" w:hint="eastAsia"/>
          <w:kern w:val="0"/>
          <w:szCs w:val="21"/>
        </w:rPr>
        <w:t>计算</w:t>
      </w:r>
      <w:r>
        <w:rPr>
          <w:rFonts w:ascii="宋体" w:eastAsia="宋体" w:hAnsi="宋体" w:cs="Calibri" w:hint="eastAsia"/>
          <w:kern w:val="0"/>
          <w:szCs w:val="21"/>
        </w:rPr>
        <w:t>201</w:t>
      </w:r>
      <w:r>
        <w:rPr>
          <w:rFonts w:ascii="宋体" w:eastAsia="宋体" w:hAnsi="宋体" w:cs="Calibri"/>
          <w:kern w:val="0"/>
          <w:szCs w:val="21"/>
        </w:rPr>
        <w:t>9</w:t>
      </w:r>
      <w:r>
        <w:rPr>
          <w:rFonts w:ascii="宋体" w:eastAsia="宋体" w:hAnsi="宋体" w:cs="Calibri" w:hint="eastAsia"/>
          <w:kern w:val="0"/>
          <w:szCs w:val="21"/>
        </w:rPr>
        <w:t>年其余指标分值。根据</w:t>
      </w:r>
      <w:r>
        <w:rPr>
          <w:rFonts w:ascii="宋体" w:eastAsia="宋体" w:hAnsi="宋体" w:cs="Calibri" w:hint="eastAsia"/>
          <w:kern w:val="0"/>
          <w:szCs w:val="21"/>
        </w:rPr>
        <w:t>1 ~ 2</w:t>
      </w:r>
      <w:r>
        <w:rPr>
          <w:rFonts w:ascii="宋体" w:eastAsia="宋体" w:hAnsi="宋体" w:cs="Calibri" w:hint="eastAsia"/>
          <w:kern w:val="0"/>
          <w:szCs w:val="21"/>
        </w:rPr>
        <w:t>步骤，计算竞争优势关键指标、产业优势关键指标、环境稳定性关键指标的指标分值。</w:t>
      </w:r>
    </w:p>
    <w:p w14:paraId="4FF2E8D3" w14:textId="77777777" w:rsidR="00C577D9" w:rsidRDefault="00C52813">
      <w:pPr>
        <w:widowControl/>
        <w:snapToGrid w:val="0"/>
        <w:spacing w:line="360" w:lineRule="auto"/>
        <w:ind w:firstLineChars="200" w:firstLine="420"/>
        <w:rPr>
          <w:rFonts w:ascii="宋体" w:eastAsia="宋体" w:hAnsi="宋体" w:cs="Calibri"/>
          <w:kern w:val="0"/>
          <w:szCs w:val="21"/>
        </w:rPr>
      </w:pPr>
      <w:r>
        <w:rPr>
          <w:rFonts w:ascii="宋体" w:eastAsia="宋体" w:hAnsi="宋体" w:cs="Calibri" w:hint="eastAsia"/>
          <w:kern w:val="0"/>
          <w:szCs w:val="21"/>
        </w:rPr>
        <w:t>判断公司</w:t>
      </w:r>
      <w:r>
        <w:rPr>
          <w:rFonts w:ascii="宋体" w:eastAsia="宋体" w:hAnsi="宋体" w:cs="Calibri" w:hint="eastAsia"/>
          <w:kern w:val="0"/>
          <w:szCs w:val="21"/>
        </w:rPr>
        <w:t>201</w:t>
      </w:r>
      <w:r>
        <w:rPr>
          <w:rFonts w:ascii="宋体" w:eastAsia="宋体" w:hAnsi="宋体" w:cs="Calibri"/>
          <w:kern w:val="0"/>
          <w:szCs w:val="21"/>
        </w:rPr>
        <w:t>9</w:t>
      </w:r>
      <w:r>
        <w:rPr>
          <w:rFonts w:ascii="宋体" w:eastAsia="宋体" w:hAnsi="宋体" w:cs="Calibri" w:hint="eastAsia"/>
          <w:kern w:val="0"/>
          <w:szCs w:val="21"/>
        </w:rPr>
        <w:t>年战略形态。参考</w:t>
      </w:r>
      <w:r>
        <w:rPr>
          <w:rFonts w:ascii="宋体" w:eastAsia="宋体" w:hAnsi="宋体" w:cs="Calibri" w:hint="eastAsia"/>
          <w:kern w:val="0"/>
          <w:szCs w:val="21"/>
        </w:rPr>
        <w:t>201</w:t>
      </w:r>
      <w:r>
        <w:rPr>
          <w:rFonts w:ascii="宋体" w:eastAsia="宋体" w:hAnsi="宋体" w:cs="Calibri"/>
          <w:kern w:val="0"/>
          <w:szCs w:val="21"/>
        </w:rPr>
        <w:t>8</w:t>
      </w:r>
      <w:r>
        <w:rPr>
          <w:rFonts w:ascii="宋体" w:eastAsia="宋体" w:hAnsi="宋体" w:cs="Calibri" w:hint="eastAsia"/>
          <w:kern w:val="0"/>
          <w:szCs w:val="21"/>
        </w:rPr>
        <w:t>年战略形态判断步骤，判断公司</w:t>
      </w:r>
      <w:r>
        <w:rPr>
          <w:rFonts w:ascii="宋体" w:eastAsia="宋体" w:hAnsi="宋体" w:cs="Calibri" w:hint="eastAsia"/>
          <w:kern w:val="0"/>
          <w:szCs w:val="21"/>
        </w:rPr>
        <w:t>2017</w:t>
      </w:r>
      <w:r>
        <w:rPr>
          <w:rFonts w:ascii="宋体" w:eastAsia="宋体" w:hAnsi="宋体" w:cs="Calibri" w:hint="eastAsia"/>
          <w:kern w:val="0"/>
          <w:szCs w:val="21"/>
        </w:rPr>
        <w:t>年战略形态。</w:t>
      </w:r>
    </w:p>
    <w:p w14:paraId="34DAC9DC" w14:textId="77777777" w:rsidR="00C577D9" w:rsidRDefault="00C52813">
      <w:pPr>
        <w:widowControl/>
        <w:snapToGrid w:val="0"/>
        <w:spacing w:before="156" w:after="156"/>
        <w:ind w:left="285" w:hanging="285"/>
        <w:rPr>
          <w:rFonts w:ascii="宋体" w:eastAsia="宋体" w:hAnsi="宋体" w:cs="Calibri"/>
          <w:b/>
          <w:bCs/>
          <w:kern w:val="0"/>
          <w:szCs w:val="21"/>
        </w:rPr>
      </w:pPr>
      <w:r>
        <w:rPr>
          <w:rFonts w:ascii="宋体" w:eastAsia="宋体" w:hAnsi="宋体" w:cs="Calibri"/>
          <w:b/>
          <w:bCs/>
          <w:kern w:val="0"/>
          <w:szCs w:val="21"/>
        </w:rPr>
        <w:t>2</w:t>
      </w:r>
      <w:r>
        <w:rPr>
          <w:rFonts w:ascii="宋体" w:eastAsia="宋体" w:hAnsi="宋体" w:cs="Calibri" w:hint="eastAsia"/>
          <w:b/>
          <w:bCs/>
          <w:kern w:val="0"/>
          <w:szCs w:val="21"/>
        </w:rPr>
        <w:t>、投资决策项目投资模块实验</w:t>
      </w:r>
    </w:p>
    <w:p w14:paraId="487EC348"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1</w:t>
      </w:r>
      <w:r>
        <w:rPr>
          <w:rFonts w:ascii="宋体" w:eastAsia="宋体" w:hAnsi="宋体" w:cs="Calibri" w:hint="eastAsia"/>
          <w:kern w:val="0"/>
          <w:szCs w:val="21"/>
        </w:rPr>
        <w:t>）计算生产线项目净现值</w:t>
      </w:r>
    </w:p>
    <w:p w14:paraId="42166A23"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kern w:val="0"/>
          <w:szCs w:val="21"/>
        </w:rPr>
        <w:t> </w:t>
      </w:r>
      <w:r>
        <w:rPr>
          <w:rFonts w:ascii="宋体" w:eastAsia="宋体" w:hAnsi="宋体" w:cs="Calibri" w:hint="eastAsia"/>
          <w:kern w:val="0"/>
          <w:szCs w:val="21"/>
        </w:rPr>
        <w:t>了解生产线项目投资周期与设备投资额情况。根据</w:t>
      </w:r>
      <w:r>
        <w:rPr>
          <w:rFonts w:ascii="宋体" w:eastAsia="宋体" w:hAnsi="宋体" w:cs="Calibri" w:hint="eastAsia"/>
          <w:kern w:val="0"/>
          <w:szCs w:val="21"/>
        </w:rPr>
        <w:t>&lt;</w:t>
      </w:r>
      <w:r>
        <w:rPr>
          <w:rFonts w:ascii="宋体" w:eastAsia="宋体" w:hAnsi="宋体" w:cs="Calibri" w:hint="eastAsia"/>
          <w:kern w:val="0"/>
          <w:szCs w:val="21"/>
        </w:rPr>
        <w:t>生产设备建设和运营周期</w:t>
      </w:r>
      <w:r>
        <w:rPr>
          <w:rFonts w:ascii="宋体" w:eastAsia="宋体" w:hAnsi="宋体" w:cs="Calibri" w:hint="eastAsia"/>
          <w:kern w:val="0"/>
          <w:szCs w:val="21"/>
        </w:rPr>
        <w:t>&gt;</w:t>
      </w:r>
      <w:r>
        <w:rPr>
          <w:rFonts w:ascii="宋体" w:eastAsia="宋体" w:hAnsi="宋体" w:cs="Calibri" w:hint="eastAsia"/>
          <w:kern w:val="0"/>
          <w:szCs w:val="21"/>
        </w:rPr>
        <w:t>信息了解各生产线的建设周期和经营周期，在项目建设期结束开始生产经营，并在项目经营期结束完成项目投资的折旧及残值回收。</w:t>
      </w:r>
    </w:p>
    <w:p w14:paraId="70F29767"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noProof/>
          <w:szCs w:val="21"/>
        </w:rPr>
        <w:lastRenderedPageBreak/>
        <w:drawing>
          <wp:inline distT="0" distB="0" distL="0" distR="0" wp14:anchorId="0B51D30A" wp14:editId="5D19CDBE">
            <wp:extent cx="5274310" cy="31572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3157220"/>
                    </a:xfrm>
                    <a:prstGeom prst="rect">
                      <a:avLst/>
                    </a:prstGeom>
                  </pic:spPr>
                </pic:pic>
              </a:graphicData>
            </a:graphic>
          </wp:inline>
        </w:drawing>
      </w:r>
    </w:p>
    <w:p w14:paraId="25A750B1"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w:t>
      </w:r>
      <w:r>
        <w:rPr>
          <w:rFonts w:ascii="宋体" w:eastAsia="宋体" w:hAnsi="宋体" w:cs="宋体" w:hint="eastAsia"/>
          <w:szCs w:val="21"/>
        </w:rPr>
        <w:t>生产设备投资成本及进度表</w:t>
      </w:r>
      <w:r>
        <w:rPr>
          <w:rFonts w:ascii="宋体" w:eastAsia="宋体" w:hAnsi="宋体" w:cs="宋体" w:hint="eastAsia"/>
          <w:szCs w:val="21"/>
        </w:rPr>
        <w:t>&gt;</w:t>
      </w:r>
      <w:r>
        <w:rPr>
          <w:rFonts w:ascii="宋体" w:eastAsia="宋体" w:hAnsi="宋体" w:cs="宋体" w:hint="eastAsia"/>
          <w:szCs w:val="21"/>
        </w:rPr>
        <w:t>信息了解各生产线建设投资总额、投资时点、投资进度和残值回收的金额情况，并计算填写“静态建设投资”、“回收固定资产余值”、“非付现成本”指标。</w:t>
      </w:r>
    </w:p>
    <w:p w14:paraId="1ECF5CF6"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41F6EB2F" wp14:editId="38A938E6">
            <wp:extent cx="5274310" cy="368109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74310" cy="3681095"/>
                    </a:xfrm>
                    <a:prstGeom prst="rect">
                      <a:avLst/>
                    </a:prstGeom>
                  </pic:spPr>
                </pic:pic>
              </a:graphicData>
            </a:graphic>
          </wp:inline>
        </w:drawing>
      </w:r>
    </w:p>
    <w:p w14:paraId="142E07DC"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w:t>
      </w:r>
      <w:r>
        <w:rPr>
          <w:rFonts w:ascii="宋体" w:eastAsia="宋体" w:hAnsi="宋体" w:cs="宋体" w:hint="eastAsia"/>
          <w:szCs w:val="21"/>
        </w:rPr>
        <w:t>单套生产设备投产后年度运维费用统计表</w:t>
      </w:r>
      <w:r>
        <w:rPr>
          <w:rFonts w:ascii="宋体" w:eastAsia="宋体" w:hAnsi="宋体" w:cs="宋体" w:hint="eastAsia"/>
          <w:szCs w:val="21"/>
        </w:rPr>
        <w:t>&gt;</w:t>
      </w:r>
      <w:r>
        <w:rPr>
          <w:rFonts w:ascii="宋体" w:eastAsia="宋体" w:hAnsi="宋体" w:cs="宋体" w:hint="eastAsia"/>
          <w:szCs w:val="21"/>
        </w:rPr>
        <w:t>信息了解新增生产线产生的每年运维费用，主要包括相关的管理费用、销售费用等。</w:t>
      </w:r>
    </w:p>
    <w:p w14:paraId="44F04921"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4EF8ACB1" wp14:editId="3505D3AD">
            <wp:extent cx="5274310" cy="351917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3519170"/>
                    </a:xfrm>
                    <a:prstGeom prst="rect">
                      <a:avLst/>
                    </a:prstGeom>
                  </pic:spPr>
                </pic:pic>
              </a:graphicData>
            </a:graphic>
          </wp:inline>
        </w:drawing>
      </w:r>
    </w:p>
    <w:p w14:paraId="51325865"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w:t>
      </w:r>
      <w:r>
        <w:rPr>
          <w:rFonts w:ascii="宋体" w:eastAsia="宋体" w:hAnsi="宋体" w:cs="宋体" w:hint="eastAsia"/>
          <w:szCs w:val="21"/>
        </w:rPr>
        <w:t>单套生产设备投产后各年产能统计表</w:t>
      </w:r>
      <w:r>
        <w:rPr>
          <w:rFonts w:ascii="宋体" w:eastAsia="宋体" w:hAnsi="宋体" w:cs="宋体" w:hint="eastAsia"/>
          <w:szCs w:val="21"/>
        </w:rPr>
        <w:t>&gt;</w:t>
      </w:r>
      <w:r>
        <w:rPr>
          <w:rFonts w:ascii="宋体" w:eastAsia="宋体" w:hAnsi="宋体" w:cs="宋体" w:hint="eastAsia"/>
          <w:szCs w:val="21"/>
        </w:rPr>
        <w:t>信息了解新增生产线每年产能情况，并考虑第一年实际经营时长进行调整得到经营期每年各产品的产量信息，计算填写“产品产量”指标。</w:t>
      </w:r>
    </w:p>
    <w:p w14:paraId="1375F9A1"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3B96515D" wp14:editId="10BC3B7F">
            <wp:extent cx="5274310" cy="400494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4004945"/>
                    </a:xfrm>
                    <a:prstGeom prst="rect">
                      <a:avLst/>
                    </a:prstGeom>
                  </pic:spPr>
                </pic:pic>
              </a:graphicData>
            </a:graphic>
          </wp:inline>
        </w:drawing>
      </w:r>
    </w:p>
    <w:p w14:paraId="2FF64E49"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lastRenderedPageBreak/>
        <w:t>根据</w:t>
      </w:r>
      <w:r>
        <w:rPr>
          <w:rFonts w:ascii="宋体" w:eastAsia="宋体" w:hAnsi="宋体" w:hint="eastAsia"/>
          <w:szCs w:val="21"/>
        </w:rPr>
        <w:t>&lt;</w:t>
      </w:r>
      <w:r>
        <w:rPr>
          <w:rFonts w:ascii="宋体" w:eastAsia="宋体" w:hAnsi="宋体" w:hint="eastAsia"/>
          <w:szCs w:val="21"/>
        </w:rPr>
        <w:t>单位产品生产消耗定额统计表</w:t>
      </w:r>
      <w:r>
        <w:rPr>
          <w:rFonts w:ascii="宋体" w:eastAsia="宋体" w:hAnsi="宋体" w:hint="eastAsia"/>
          <w:szCs w:val="21"/>
        </w:rPr>
        <w:t>&gt;</w:t>
      </w:r>
      <w:r>
        <w:rPr>
          <w:rFonts w:ascii="宋体" w:eastAsia="宋体" w:hAnsi="宋体" w:hint="eastAsia"/>
          <w:szCs w:val="21"/>
        </w:rPr>
        <w:t>信息了解</w:t>
      </w:r>
      <w:r>
        <w:rPr>
          <w:rFonts w:ascii="宋体" w:eastAsia="宋体" w:hAnsi="宋体" w:hint="eastAsia"/>
          <w:szCs w:val="21"/>
        </w:rPr>
        <w:t>产品单位成本情况，结合每年的产量信息计算每年各生产线的生产成本支出，主要包括材料费、人工费、制造费，再加上每年的运维费用构成了每年的经营成本，计算填写“经营成本”指标。</w:t>
      </w:r>
    </w:p>
    <w:p w14:paraId="17261439"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20434165" wp14:editId="4F307364">
            <wp:extent cx="5274310" cy="355790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5274310" cy="3557905"/>
                    </a:xfrm>
                    <a:prstGeom prst="rect">
                      <a:avLst/>
                    </a:prstGeom>
                  </pic:spPr>
                </pic:pic>
              </a:graphicData>
            </a:graphic>
          </wp:inline>
        </w:drawing>
      </w:r>
    </w:p>
    <w:p w14:paraId="2AE2900C"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&lt;</w:t>
      </w:r>
      <w:r>
        <w:rPr>
          <w:rFonts w:ascii="宋体" w:hAnsi="宋体" w:hint="eastAsia"/>
        </w:rPr>
        <w:t>公司主要产品销售率统计表</w:t>
      </w:r>
      <w:r>
        <w:rPr>
          <w:rFonts w:ascii="宋体" w:hAnsi="宋体" w:hint="eastAsia"/>
        </w:rPr>
        <w:t>&gt;</w:t>
      </w:r>
      <w:r>
        <w:rPr>
          <w:rFonts w:ascii="宋体" w:hAnsi="宋体" w:hint="eastAsia"/>
        </w:rPr>
        <w:t>信息了解各生产线对应产品的近几年的销售率情况，选择合理的销售率作为项目测算的依据（如最近一年的销售、近三年销售率平均值），填写“销售率”指标。</w:t>
      </w:r>
    </w:p>
    <w:p w14:paraId="50BCDED2"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10C7A9E8" wp14:editId="56CDF64E">
            <wp:extent cx="5274310" cy="335788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274310" cy="3357880"/>
                    </a:xfrm>
                    <a:prstGeom prst="rect">
                      <a:avLst/>
                    </a:prstGeom>
                  </pic:spPr>
                </pic:pic>
              </a:graphicData>
            </a:graphic>
          </wp:inline>
        </w:drawing>
      </w:r>
    </w:p>
    <w:p w14:paraId="78BCFC8C" w14:textId="77777777" w:rsidR="00C577D9" w:rsidRDefault="00C52813">
      <w:pPr>
        <w:pStyle w:val="a7"/>
        <w:snapToGrid w:val="0"/>
        <w:spacing w:line="360" w:lineRule="auto"/>
        <w:ind w:left="284" w:firstLine="0"/>
        <w:rPr>
          <w:rFonts w:ascii="宋体" w:hAnsi="宋体"/>
        </w:rPr>
      </w:pPr>
      <w:r>
        <w:rPr>
          <w:rFonts w:ascii="宋体" w:hAnsi="宋体" w:hint="eastAsia"/>
        </w:rPr>
        <w:lastRenderedPageBreak/>
        <w:t>根据</w:t>
      </w:r>
      <w:r>
        <w:rPr>
          <w:rFonts w:ascii="宋体" w:hAnsi="宋体" w:hint="eastAsia"/>
        </w:rPr>
        <w:t>&lt;</w:t>
      </w:r>
      <w:r>
        <w:rPr>
          <w:rFonts w:ascii="宋体" w:hAnsi="宋体" w:hint="eastAsia"/>
        </w:rPr>
        <w:t>公司主要产品销售坏账统计表</w:t>
      </w:r>
      <w:r>
        <w:rPr>
          <w:rFonts w:ascii="宋体" w:hAnsi="宋体" w:hint="eastAsia"/>
        </w:rPr>
        <w:t>&gt;</w:t>
      </w:r>
      <w:r>
        <w:rPr>
          <w:rFonts w:ascii="宋体" w:hAnsi="宋体" w:hint="eastAsia"/>
        </w:rPr>
        <w:t>信息了解各产品的销售回款情况，按照坏账比率计算每年的回款率，填写“回款率”指标。</w:t>
      </w:r>
    </w:p>
    <w:p w14:paraId="05317409"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366F040D" wp14:editId="5BFB27E9">
            <wp:extent cx="5274310" cy="32448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5274310" cy="3244850"/>
                    </a:xfrm>
                    <a:prstGeom prst="rect">
                      <a:avLst/>
                    </a:prstGeom>
                  </pic:spPr>
                </pic:pic>
              </a:graphicData>
            </a:graphic>
          </wp:inline>
        </w:drawing>
      </w:r>
    </w:p>
    <w:p w14:paraId="553D2368"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w:t>
      </w:r>
      <w:r>
        <w:rPr>
          <w:rFonts w:ascii="宋体" w:eastAsia="宋体" w:hAnsi="宋体" w:cs="宋体" w:hint="eastAsia"/>
          <w:szCs w:val="21"/>
        </w:rPr>
        <w:t>公司主要产品销售单价统计表</w:t>
      </w:r>
      <w:r>
        <w:rPr>
          <w:rFonts w:ascii="宋体" w:eastAsia="宋体" w:hAnsi="宋体" w:cs="宋体" w:hint="eastAsia"/>
          <w:szCs w:val="21"/>
        </w:rPr>
        <w:t>&gt;</w:t>
      </w:r>
      <w:r>
        <w:rPr>
          <w:rFonts w:ascii="宋体" w:eastAsia="宋体" w:hAnsi="宋体" w:cs="宋体" w:hint="eastAsia"/>
          <w:szCs w:val="21"/>
        </w:rPr>
        <w:t>信息</w:t>
      </w:r>
      <w:r>
        <w:rPr>
          <w:rFonts w:ascii="宋体" w:eastAsia="宋体" w:hAnsi="宋体" w:cs="宋体" w:hint="eastAsia"/>
          <w:szCs w:val="21"/>
        </w:rPr>
        <w:t>了解各产品的近几年售价情况，选择合理的售价作为项目测算的依据（最近一年的售价参考性最强），填写“产品单价”指标。</w:t>
      </w:r>
    </w:p>
    <w:p w14:paraId="25843815"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4D36F088" wp14:editId="4FB677E8">
            <wp:extent cx="5274310" cy="333946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5274310" cy="3339465"/>
                    </a:xfrm>
                    <a:prstGeom prst="rect">
                      <a:avLst/>
                    </a:prstGeom>
                  </pic:spPr>
                </pic:pic>
              </a:graphicData>
            </a:graphic>
          </wp:inline>
        </w:drawing>
      </w:r>
    </w:p>
    <w:p w14:paraId="5C68354D" w14:textId="77777777" w:rsidR="00C577D9" w:rsidRDefault="00C52813">
      <w:pPr>
        <w:pStyle w:val="a7"/>
        <w:snapToGrid w:val="0"/>
        <w:spacing w:line="360" w:lineRule="auto"/>
        <w:ind w:left="284" w:firstLine="0"/>
        <w:rPr>
          <w:rFonts w:ascii="宋体" w:hAnsi="宋体"/>
        </w:rPr>
      </w:pPr>
      <w:r>
        <w:rPr>
          <w:rFonts w:ascii="宋体" w:hAnsi="宋体" w:hint="eastAsia"/>
        </w:rPr>
        <w:t>按照产品市场投放量</w:t>
      </w:r>
      <w:r>
        <w:rPr>
          <w:rFonts w:ascii="宋体" w:hAnsi="宋体" w:hint="eastAsia"/>
        </w:rPr>
        <w:t xml:space="preserve"> = </w:t>
      </w:r>
      <w:r>
        <w:rPr>
          <w:rFonts w:ascii="宋体" w:hAnsi="宋体" w:hint="eastAsia"/>
        </w:rPr>
        <w:t>期初产品数量</w:t>
      </w:r>
      <w:r>
        <w:rPr>
          <w:rFonts w:ascii="宋体" w:hAnsi="宋体" w:hint="eastAsia"/>
        </w:rPr>
        <w:t>+</w:t>
      </w:r>
      <w:r>
        <w:rPr>
          <w:rFonts w:ascii="宋体" w:hAnsi="宋体" w:hint="eastAsia"/>
        </w:rPr>
        <w:t>本期产量（即各产品当月所有库存均投放市场），销售数量</w:t>
      </w:r>
      <w:r>
        <w:rPr>
          <w:rFonts w:ascii="宋体" w:hAnsi="宋体" w:hint="eastAsia"/>
        </w:rPr>
        <w:t xml:space="preserve"> = </w:t>
      </w:r>
      <w:r>
        <w:rPr>
          <w:rFonts w:ascii="宋体" w:hAnsi="宋体" w:hint="eastAsia"/>
        </w:rPr>
        <w:t>产品市场投放量</w:t>
      </w:r>
      <w:r>
        <w:rPr>
          <w:rFonts w:ascii="宋体" w:hAnsi="宋体" w:hint="eastAsia"/>
        </w:rPr>
        <w:t>*</w:t>
      </w:r>
      <w:r>
        <w:rPr>
          <w:rFonts w:ascii="宋体" w:hAnsi="宋体" w:hint="eastAsia"/>
        </w:rPr>
        <w:t>销售率，计算填写“产品市场投放量”、“销售数量”指标。</w:t>
      </w:r>
    </w:p>
    <w:p w14:paraId="24D1A33D" w14:textId="77777777" w:rsidR="00C577D9" w:rsidRDefault="00C52813">
      <w:pPr>
        <w:pStyle w:val="a7"/>
        <w:snapToGrid w:val="0"/>
        <w:spacing w:line="360" w:lineRule="auto"/>
        <w:ind w:left="284" w:firstLine="0"/>
        <w:rPr>
          <w:rFonts w:ascii="宋体" w:hAnsi="宋体"/>
        </w:rPr>
      </w:pPr>
      <w:r>
        <w:rPr>
          <w:rFonts w:ascii="宋体" w:hAnsi="宋体"/>
          <w:noProof/>
        </w:rPr>
        <w:lastRenderedPageBreak/>
        <w:drawing>
          <wp:inline distT="0" distB="0" distL="0" distR="0" wp14:anchorId="2622EBB4" wp14:editId="24B92BDD">
            <wp:extent cx="5274310" cy="6743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274310" cy="674370"/>
                    </a:xfrm>
                    <a:prstGeom prst="rect">
                      <a:avLst/>
                    </a:prstGeom>
                  </pic:spPr>
                </pic:pic>
              </a:graphicData>
            </a:graphic>
          </wp:inline>
        </w:drawing>
      </w:r>
    </w:p>
    <w:p w14:paraId="197033F4" w14:textId="77777777" w:rsidR="00C577D9" w:rsidRDefault="00C52813">
      <w:pPr>
        <w:pStyle w:val="a7"/>
        <w:snapToGrid w:val="0"/>
        <w:spacing w:line="360" w:lineRule="auto"/>
        <w:ind w:left="284" w:firstLine="0"/>
        <w:rPr>
          <w:rFonts w:ascii="宋体" w:hAnsi="宋体" w:cs="宋体"/>
        </w:rPr>
      </w:pPr>
      <w:r>
        <w:rPr>
          <w:rFonts w:ascii="宋体" w:hAnsi="宋体" w:cs="宋体" w:hint="eastAsia"/>
        </w:rPr>
        <w:t>按照营业收入</w:t>
      </w:r>
      <w:r>
        <w:rPr>
          <w:rFonts w:ascii="宋体" w:hAnsi="宋体" w:cs="宋体" w:hint="eastAsia"/>
        </w:rPr>
        <w:t xml:space="preserve"> = </w:t>
      </w:r>
      <w:r>
        <w:rPr>
          <w:rFonts w:ascii="宋体" w:hAnsi="宋体" w:cs="宋体" w:hint="eastAsia"/>
        </w:rPr>
        <w:t>产品单价</w:t>
      </w:r>
      <w:r>
        <w:rPr>
          <w:rFonts w:ascii="宋体" w:hAnsi="宋体" w:cs="宋体" w:hint="eastAsia"/>
        </w:rPr>
        <w:t>*</w:t>
      </w:r>
      <w:r>
        <w:rPr>
          <w:rFonts w:ascii="宋体" w:hAnsi="宋体" w:cs="宋体" w:hint="eastAsia"/>
        </w:rPr>
        <w:t>销售数量</w:t>
      </w:r>
      <w:r>
        <w:rPr>
          <w:rFonts w:ascii="宋体" w:hAnsi="宋体" w:cs="宋体" w:hint="eastAsia"/>
        </w:rPr>
        <w:t>*</w:t>
      </w:r>
      <w:r>
        <w:rPr>
          <w:rFonts w:ascii="宋体" w:hAnsi="宋体" w:cs="宋体" w:hint="eastAsia"/>
        </w:rPr>
        <w:t>回款率，计算填写“营业收入（销售回款）”指标。</w:t>
      </w:r>
    </w:p>
    <w:p w14:paraId="0085D47D" w14:textId="77777777" w:rsidR="00C577D9" w:rsidRDefault="00C52813">
      <w:pPr>
        <w:pStyle w:val="a7"/>
        <w:snapToGrid w:val="0"/>
        <w:spacing w:line="360" w:lineRule="auto"/>
        <w:ind w:left="284" w:firstLine="0"/>
        <w:rPr>
          <w:rFonts w:ascii="宋体" w:hAnsi="宋体"/>
        </w:rPr>
      </w:pPr>
      <w:r>
        <w:rPr>
          <w:rFonts w:ascii="宋体" w:hAnsi="宋体"/>
          <w:noProof/>
        </w:rPr>
        <w:drawing>
          <wp:inline distT="0" distB="0" distL="0" distR="0" wp14:anchorId="6ED47E18" wp14:editId="68F6637D">
            <wp:extent cx="5274310" cy="44259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5274310" cy="442595"/>
                    </a:xfrm>
                    <a:prstGeom prst="rect">
                      <a:avLst/>
                    </a:prstGeom>
                  </pic:spPr>
                </pic:pic>
              </a:graphicData>
            </a:graphic>
          </wp:inline>
        </w:drawing>
      </w:r>
    </w:p>
    <w:p w14:paraId="29355F68" w14:textId="77777777" w:rsidR="00C577D9" w:rsidRDefault="00C52813">
      <w:pPr>
        <w:pStyle w:val="a7"/>
        <w:snapToGrid w:val="0"/>
        <w:spacing w:line="360" w:lineRule="auto"/>
        <w:ind w:left="284" w:firstLine="0"/>
        <w:rPr>
          <w:rFonts w:ascii="宋体" w:hAnsi="宋体" w:cs="宋体"/>
        </w:rPr>
      </w:pPr>
      <w:r>
        <w:rPr>
          <w:rFonts w:ascii="宋体" w:hAnsi="宋体" w:cs="宋体" w:hint="eastAsia"/>
        </w:rPr>
        <w:t>根据项目经营期末产品库存数量，按照生产成本进行回收，即：回收流动资金</w:t>
      </w:r>
      <w:r>
        <w:rPr>
          <w:rFonts w:ascii="宋体" w:hAnsi="宋体" w:cs="宋体" w:hint="eastAsia"/>
        </w:rPr>
        <w:t xml:space="preserve"> = </w:t>
      </w:r>
      <w:r>
        <w:rPr>
          <w:rFonts w:ascii="宋体" w:hAnsi="宋体" w:cs="宋体" w:hint="eastAsia"/>
        </w:rPr>
        <w:t>期末库存数量</w:t>
      </w:r>
      <w:r>
        <w:rPr>
          <w:rFonts w:ascii="宋体" w:hAnsi="宋体" w:cs="宋体" w:hint="eastAsia"/>
        </w:rPr>
        <w:t>*</w:t>
      </w:r>
      <w:r>
        <w:rPr>
          <w:rFonts w:ascii="宋体" w:hAnsi="宋体" w:cs="宋体" w:hint="eastAsia"/>
        </w:rPr>
        <w:t>产品单位成本（即单位产品消耗的材料、人工、制</w:t>
      </w:r>
      <w:r>
        <w:rPr>
          <w:rFonts w:ascii="宋体" w:hAnsi="宋体" w:cs="宋体" w:hint="eastAsia"/>
        </w:rPr>
        <w:t>造费用），期末库存数量</w:t>
      </w:r>
      <w:r>
        <w:rPr>
          <w:rFonts w:ascii="宋体" w:hAnsi="宋体" w:cs="宋体" w:hint="eastAsia"/>
        </w:rPr>
        <w:t xml:space="preserve"> = </w:t>
      </w:r>
      <w:r>
        <w:rPr>
          <w:rFonts w:ascii="宋体" w:hAnsi="宋体" w:cs="宋体" w:hint="eastAsia"/>
        </w:rPr>
        <w:t>项目累计产量</w:t>
      </w:r>
      <w:r>
        <w:rPr>
          <w:rFonts w:ascii="宋体" w:hAnsi="宋体" w:cs="宋体" w:hint="eastAsia"/>
        </w:rPr>
        <w:t xml:space="preserve"> </w:t>
      </w:r>
      <w:r>
        <w:rPr>
          <w:rFonts w:ascii="宋体" w:hAnsi="宋体" w:cs="宋体" w:hint="eastAsia"/>
        </w:rPr>
        <w:t>—</w:t>
      </w:r>
      <w:r>
        <w:rPr>
          <w:rFonts w:ascii="宋体" w:hAnsi="宋体" w:cs="宋体" w:hint="eastAsia"/>
        </w:rPr>
        <w:t xml:space="preserve"> </w:t>
      </w:r>
      <w:r>
        <w:rPr>
          <w:rFonts w:ascii="宋体" w:hAnsi="宋体" w:cs="宋体" w:hint="eastAsia"/>
        </w:rPr>
        <w:t>项目累计销量（或者：最后一期市场投放量</w:t>
      </w:r>
      <w:r>
        <w:rPr>
          <w:rFonts w:ascii="宋体" w:hAnsi="宋体" w:cs="宋体" w:hint="eastAsia"/>
        </w:rPr>
        <w:t xml:space="preserve"> </w:t>
      </w:r>
      <w:r>
        <w:rPr>
          <w:rFonts w:ascii="宋体" w:hAnsi="宋体" w:cs="宋体" w:hint="eastAsia"/>
        </w:rPr>
        <w:t>—</w:t>
      </w:r>
      <w:r>
        <w:rPr>
          <w:rFonts w:ascii="宋体" w:hAnsi="宋体" w:cs="宋体" w:hint="eastAsia"/>
        </w:rPr>
        <w:t xml:space="preserve"> </w:t>
      </w:r>
      <w:r>
        <w:rPr>
          <w:rFonts w:ascii="宋体" w:hAnsi="宋体" w:cs="宋体" w:hint="eastAsia"/>
        </w:rPr>
        <w:t>最后一期销量）。</w:t>
      </w:r>
    </w:p>
    <w:p w14:paraId="7F99E1C2" w14:textId="77777777" w:rsidR="00C577D9" w:rsidRDefault="00C52813">
      <w:pPr>
        <w:pStyle w:val="a7"/>
        <w:snapToGrid w:val="0"/>
        <w:spacing w:line="360" w:lineRule="auto"/>
        <w:ind w:left="284" w:firstLine="0"/>
        <w:rPr>
          <w:rFonts w:ascii="宋体" w:hAnsi="宋体"/>
        </w:rPr>
      </w:pPr>
      <w:r>
        <w:rPr>
          <w:rFonts w:ascii="宋体" w:hAnsi="宋体"/>
          <w:noProof/>
        </w:rPr>
        <w:drawing>
          <wp:inline distT="0" distB="0" distL="0" distR="0" wp14:anchorId="4F53AD84" wp14:editId="58348B80">
            <wp:extent cx="5274310" cy="42100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5"/>
                    <a:stretch>
                      <a:fillRect/>
                    </a:stretch>
                  </pic:blipFill>
                  <pic:spPr>
                    <a:xfrm>
                      <a:off x="0" y="0"/>
                      <a:ext cx="5274310" cy="421005"/>
                    </a:xfrm>
                    <a:prstGeom prst="rect">
                      <a:avLst/>
                    </a:prstGeom>
                  </pic:spPr>
                </pic:pic>
              </a:graphicData>
            </a:graphic>
          </wp:inline>
        </w:drawing>
      </w:r>
    </w:p>
    <w:p w14:paraId="4D76D808"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&lt;</w:t>
      </w:r>
      <w:r>
        <w:rPr>
          <w:rFonts w:ascii="宋体" w:hAnsi="宋体" w:hint="eastAsia"/>
        </w:rPr>
        <w:t>公司税收政策统计表</w:t>
      </w:r>
      <w:r>
        <w:rPr>
          <w:rFonts w:ascii="宋体" w:hAnsi="宋体" w:hint="eastAsia"/>
        </w:rPr>
        <w:t>&gt;</w:t>
      </w:r>
      <w:r>
        <w:rPr>
          <w:rFonts w:ascii="宋体" w:hAnsi="宋体" w:hint="eastAsia"/>
        </w:rPr>
        <w:t>信息了解公司各种税费的税率及计算依据，根据营业收入的</w:t>
      </w:r>
      <w:r>
        <w:rPr>
          <w:rFonts w:ascii="宋体" w:hAnsi="宋体" w:hint="eastAsia"/>
        </w:rPr>
        <w:t>4%</w:t>
      </w:r>
      <w:r>
        <w:rPr>
          <w:rFonts w:ascii="宋体" w:hAnsi="宋体" w:hint="eastAsia"/>
        </w:rPr>
        <w:t>测算增值税并以此计算城建税和教育费附加，由于增值税为价外税，且产品售价和材料采购等都为不含税金额，项目测算时可不考虑增值税情况。</w:t>
      </w:r>
    </w:p>
    <w:p w14:paraId="634A9993"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72D89293" wp14:editId="797C12E0">
            <wp:extent cx="5274310" cy="354584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5274310" cy="3545840"/>
                    </a:xfrm>
                    <a:prstGeom prst="rect">
                      <a:avLst/>
                    </a:prstGeom>
                  </pic:spPr>
                </pic:pic>
              </a:graphicData>
            </a:graphic>
          </wp:inline>
        </w:drawing>
      </w:r>
    </w:p>
    <w:p w14:paraId="3FF2811B" w14:textId="77777777" w:rsidR="00C577D9" w:rsidRDefault="00C52813">
      <w:pPr>
        <w:pStyle w:val="a7"/>
        <w:snapToGrid w:val="0"/>
        <w:spacing w:line="360" w:lineRule="auto"/>
        <w:ind w:left="284" w:firstLine="0"/>
        <w:rPr>
          <w:rFonts w:ascii="宋体" w:hAnsi="宋体"/>
        </w:rPr>
      </w:pPr>
      <w:r>
        <w:rPr>
          <w:rFonts w:ascii="宋体" w:hAnsi="宋体" w:hint="eastAsia"/>
        </w:rPr>
        <w:t>根据利润总额</w:t>
      </w:r>
      <w:r>
        <w:rPr>
          <w:rFonts w:ascii="宋体" w:hAnsi="宋体" w:hint="eastAsia"/>
        </w:rPr>
        <w:t xml:space="preserve"> = </w:t>
      </w:r>
      <w:r>
        <w:rPr>
          <w:rFonts w:ascii="宋体" w:hAnsi="宋体" w:hint="eastAsia"/>
        </w:rPr>
        <w:t>销售数量</w:t>
      </w:r>
      <w:r>
        <w:rPr>
          <w:rFonts w:ascii="宋体" w:hAnsi="宋体" w:hint="eastAsia"/>
        </w:rPr>
        <w:t>*</w:t>
      </w:r>
      <w:r>
        <w:rPr>
          <w:rFonts w:ascii="宋体" w:hAnsi="宋体" w:hint="eastAsia"/>
        </w:rPr>
        <w:t>（产品单价—单位产品成本）—运维费用—营业税金及附加—非付现成本，计算并填列“利润总额”指标。</w:t>
      </w:r>
    </w:p>
    <w:p w14:paraId="554FC771" w14:textId="77777777" w:rsidR="00C577D9" w:rsidRDefault="00C52813">
      <w:pPr>
        <w:pStyle w:val="a7"/>
        <w:snapToGrid w:val="0"/>
        <w:spacing w:line="360" w:lineRule="auto"/>
        <w:ind w:left="284" w:firstLine="0"/>
        <w:rPr>
          <w:rFonts w:ascii="宋体" w:hAnsi="宋体"/>
        </w:rPr>
      </w:pPr>
      <w:r>
        <w:rPr>
          <w:rFonts w:ascii="宋体" w:hAnsi="宋体" w:hint="eastAsia"/>
        </w:rPr>
        <w:t>根据所得税后净现金流量</w:t>
      </w:r>
      <w:r>
        <w:rPr>
          <w:rFonts w:ascii="宋体" w:hAnsi="宋体" w:hint="eastAsia"/>
        </w:rPr>
        <w:t xml:space="preserve"> = </w:t>
      </w:r>
      <w:r>
        <w:rPr>
          <w:rFonts w:ascii="宋体" w:hAnsi="宋体" w:hint="eastAsia"/>
        </w:rPr>
        <w:t>现金流入—现金流出</w:t>
      </w:r>
      <w:r>
        <w:rPr>
          <w:rFonts w:ascii="宋体" w:hAnsi="宋体" w:hint="eastAsia"/>
        </w:rPr>
        <w:t>=</w:t>
      </w:r>
      <w:r>
        <w:rPr>
          <w:rFonts w:ascii="宋体" w:hAnsi="宋体" w:hint="eastAsia"/>
        </w:rPr>
        <w:t>（营业收入</w:t>
      </w:r>
      <w:r>
        <w:rPr>
          <w:rFonts w:ascii="宋体" w:hAnsi="宋体" w:hint="eastAsia"/>
        </w:rPr>
        <w:t>+</w:t>
      </w:r>
      <w:r>
        <w:rPr>
          <w:rFonts w:ascii="宋体" w:hAnsi="宋体" w:hint="eastAsia"/>
        </w:rPr>
        <w:t>回收固定资产余值</w:t>
      </w:r>
      <w:r>
        <w:rPr>
          <w:rFonts w:ascii="宋体" w:hAnsi="宋体" w:hint="eastAsia"/>
        </w:rPr>
        <w:t>+</w:t>
      </w:r>
      <w:r>
        <w:rPr>
          <w:rFonts w:ascii="宋体" w:hAnsi="宋体" w:hint="eastAsia"/>
        </w:rPr>
        <w:t>回收流动资金）—（静态建设投资</w:t>
      </w:r>
      <w:r>
        <w:rPr>
          <w:rFonts w:ascii="宋体" w:hAnsi="宋体" w:hint="eastAsia"/>
        </w:rPr>
        <w:t>+</w:t>
      </w:r>
      <w:r>
        <w:rPr>
          <w:rFonts w:ascii="宋体" w:hAnsi="宋体" w:hint="eastAsia"/>
        </w:rPr>
        <w:t>流动资金投入</w:t>
      </w:r>
      <w:r>
        <w:rPr>
          <w:rFonts w:ascii="宋体" w:hAnsi="宋体" w:hint="eastAsia"/>
        </w:rPr>
        <w:t>+</w:t>
      </w:r>
      <w:r>
        <w:rPr>
          <w:rFonts w:ascii="宋体" w:hAnsi="宋体" w:hint="eastAsia"/>
        </w:rPr>
        <w:t>经营成本</w:t>
      </w:r>
      <w:r>
        <w:rPr>
          <w:rFonts w:ascii="宋体" w:hAnsi="宋体" w:hint="eastAsia"/>
        </w:rPr>
        <w:t>+</w:t>
      </w:r>
      <w:r>
        <w:rPr>
          <w:rFonts w:ascii="宋体" w:hAnsi="宋体" w:hint="eastAsia"/>
        </w:rPr>
        <w:t>营业税金及附加</w:t>
      </w:r>
      <w:r>
        <w:rPr>
          <w:rFonts w:ascii="宋体" w:hAnsi="宋体" w:hint="eastAsia"/>
        </w:rPr>
        <w:t>+</w:t>
      </w:r>
      <w:r>
        <w:rPr>
          <w:rFonts w:ascii="宋体" w:hAnsi="宋体" w:hint="eastAsia"/>
        </w:rPr>
        <w:t>调整所得税），所得税前净现金流量</w:t>
      </w:r>
      <w:r>
        <w:rPr>
          <w:rFonts w:ascii="宋体" w:hAnsi="宋体" w:hint="eastAsia"/>
        </w:rPr>
        <w:t xml:space="preserve"> = </w:t>
      </w:r>
      <w:r>
        <w:rPr>
          <w:rFonts w:ascii="宋体" w:hAnsi="宋体" w:hint="eastAsia"/>
        </w:rPr>
        <w:t>所得税后净现金流量</w:t>
      </w:r>
      <w:r>
        <w:rPr>
          <w:rFonts w:ascii="宋体" w:hAnsi="宋体" w:hint="eastAsia"/>
        </w:rPr>
        <w:t>+</w:t>
      </w:r>
      <w:r>
        <w:rPr>
          <w:rFonts w:ascii="宋体" w:hAnsi="宋体" w:hint="eastAsia"/>
        </w:rPr>
        <w:t>调整所得税，计算填列“所得税后净现金流量”、“所得税前净现金流量”指标。</w:t>
      </w:r>
    </w:p>
    <w:p w14:paraId="70A323B2"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27ED16C9" wp14:editId="4D8FD6CA">
            <wp:extent cx="5274310" cy="7112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a:stretch>
                      <a:fillRect/>
                    </a:stretch>
                  </pic:blipFill>
                  <pic:spPr>
                    <a:xfrm>
                      <a:off x="0" y="0"/>
                      <a:ext cx="5274310" cy="711200"/>
                    </a:xfrm>
                    <a:prstGeom prst="rect">
                      <a:avLst/>
                    </a:prstGeom>
                  </pic:spPr>
                </pic:pic>
              </a:graphicData>
            </a:graphic>
          </wp:inline>
        </w:drawing>
      </w:r>
    </w:p>
    <w:p w14:paraId="3D9D6836" w14:textId="77777777" w:rsidR="00C577D9" w:rsidRDefault="00C52813">
      <w:pPr>
        <w:pStyle w:val="a7"/>
        <w:snapToGrid w:val="0"/>
        <w:spacing w:line="360" w:lineRule="auto"/>
        <w:ind w:left="284" w:firstLine="0"/>
        <w:rPr>
          <w:rFonts w:ascii="宋体" w:hAnsi="宋体"/>
        </w:rPr>
      </w:pPr>
      <w:r>
        <w:rPr>
          <w:rFonts w:ascii="宋体" w:hAnsi="宋体" w:hint="eastAsia"/>
        </w:rPr>
        <w:t>根据“所得税后净现金流”、折现率及</w:t>
      </w:r>
      <w:r>
        <w:rPr>
          <w:rFonts w:ascii="宋体" w:hAnsi="宋体" w:hint="eastAsia"/>
        </w:rPr>
        <w:t>NPV</w:t>
      </w:r>
      <w:r>
        <w:rPr>
          <w:rFonts w:ascii="宋体" w:hAnsi="宋体" w:hint="eastAsia"/>
        </w:rPr>
        <w:t>函数计算三个生产线投资的项目净现值。</w:t>
      </w:r>
    </w:p>
    <w:p w14:paraId="5AB3C5E5" w14:textId="77777777" w:rsidR="00C577D9" w:rsidRDefault="00C52813">
      <w:pPr>
        <w:widowControl/>
        <w:snapToGrid w:val="0"/>
        <w:spacing w:before="156" w:after="156"/>
        <w:jc w:val="left"/>
        <w:rPr>
          <w:rFonts w:ascii="宋体" w:eastAsia="宋体" w:hAnsi="宋体" w:cs="Calibri"/>
          <w:kern w:val="0"/>
          <w:szCs w:val="21"/>
        </w:rPr>
      </w:pPr>
      <w:r>
        <w:rPr>
          <w:noProof/>
        </w:rPr>
        <w:drawing>
          <wp:inline distT="0" distB="0" distL="0" distR="0" wp14:anchorId="222FDEF3" wp14:editId="2188C268">
            <wp:extent cx="5274310" cy="1085215"/>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a:stretch>
                      <a:fillRect/>
                    </a:stretch>
                  </pic:blipFill>
                  <pic:spPr>
                    <a:xfrm>
                      <a:off x="0" y="0"/>
                      <a:ext cx="5274310" cy="1085215"/>
                    </a:xfrm>
                    <a:prstGeom prst="rect">
                      <a:avLst/>
                    </a:prstGeom>
                  </pic:spPr>
                </pic:pic>
              </a:graphicData>
            </a:graphic>
          </wp:inline>
        </w:drawing>
      </w:r>
    </w:p>
    <w:p w14:paraId="3DBBB9B5" w14:textId="77777777" w:rsidR="00C577D9" w:rsidRDefault="00C52813">
      <w:pPr>
        <w:snapToGrid w:val="0"/>
        <w:spacing w:line="360" w:lineRule="auto"/>
        <w:rPr>
          <w:rFonts w:ascii="宋体" w:eastAsia="宋体" w:hAnsi="宋体"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2</w:t>
      </w:r>
      <w:r>
        <w:rPr>
          <w:rFonts w:ascii="宋体" w:eastAsia="宋体" w:hAnsi="宋体" w:cs="Calibri" w:hint="eastAsia"/>
          <w:kern w:val="0"/>
          <w:szCs w:val="21"/>
        </w:rPr>
        <w:t>）计算生产线项目内含报酬率</w:t>
      </w:r>
    </w:p>
    <w:p w14:paraId="65D03496"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完成项目每年净现金流计算</w:t>
      </w:r>
    </w:p>
    <w:p w14:paraId="7F7E448A"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选择项目每年净现金流量。根据已计算的每年净现金流情况，选择“所得税后净现金流”作为计算项目内涵报酬率的依据。</w:t>
      </w:r>
    </w:p>
    <w:p w14:paraId="2A187179"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计算项目内涵报酬率。根据每年“所得税后净现金流”</w:t>
      </w:r>
      <w:r>
        <w:rPr>
          <w:rFonts w:ascii="宋体" w:eastAsia="宋体" w:hAnsi="宋体" w:cs="Calibri" w:hint="eastAsia"/>
          <w:kern w:val="0"/>
          <w:szCs w:val="21"/>
        </w:rPr>
        <w:t>IRR</w:t>
      </w:r>
      <w:r>
        <w:rPr>
          <w:rFonts w:ascii="宋体" w:eastAsia="宋体" w:hAnsi="宋体" w:cs="Calibri" w:hint="eastAsia"/>
          <w:kern w:val="0"/>
          <w:szCs w:val="21"/>
        </w:rPr>
        <w:t>函数计算生产线投资的项目内涵报酬率。</w:t>
      </w:r>
    </w:p>
    <w:p w14:paraId="06C5F4DE" w14:textId="77777777" w:rsidR="00C577D9" w:rsidRDefault="00C52813">
      <w:pPr>
        <w:widowControl/>
        <w:snapToGrid w:val="0"/>
        <w:spacing w:before="156" w:after="156"/>
        <w:jc w:val="left"/>
        <w:rPr>
          <w:rFonts w:ascii="宋体" w:eastAsia="宋体" w:hAnsi="宋体" w:cs="Calibri"/>
          <w:kern w:val="0"/>
          <w:szCs w:val="21"/>
        </w:rPr>
      </w:pPr>
      <w:r>
        <w:rPr>
          <w:noProof/>
        </w:rPr>
        <w:drawing>
          <wp:inline distT="0" distB="0" distL="0" distR="0" wp14:anchorId="1696D71E" wp14:editId="33C74A61">
            <wp:extent cx="5274310" cy="108902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274310" cy="1089025"/>
                    </a:xfrm>
                    <a:prstGeom prst="rect">
                      <a:avLst/>
                    </a:prstGeom>
                  </pic:spPr>
                </pic:pic>
              </a:graphicData>
            </a:graphic>
          </wp:inline>
        </w:drawing>
      </w:r>
    </w:p>
    <w:p w14:paraId="734FAE2E" w14:textId="77777777" w:rsidR="00C577D9" w:rsidRDefault="00C52813">
      <w:pPr>
        <w:snapToGrid w:val="0"/>
        <w:spacing w:line="360" w:lineRule="auto"/>
        <w:rPr>
          <w:rFonts w:ascii="宋体" w:eastAsia="宋体" w:hAnsi="宋体"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3</w:t>
      </w:r>
      <w:r>
        <w:rPr>
          <w:rFonts w:ascii="宋体" w:eastAsia="宋体" w:hAnsi="宋体" w:cs="Calibri" w:hint="eastAsia"/>
          <w:kern w:val="0"/>
          <w:szCs w:val="21"/>
        </w:rPr>
        <w:t>）计算生产线项目投资回收周期</w:t>
      </w:r>
      <w:bookmarkStart w:id="1" w:name="_Toc499662568"/>
      <w:bookmarkEnd w:id="1"/>
    </w:p>
    <w:p w14:paraId="52DA0A21"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完成项目每年净现金流计算</w:t>
      </w:r>
    </w:p>
    <w:p w14:paraId="11C371BA"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计算累计净现金流量。根据已计算的“所得税后净现金流量”、“所得税前净现金流量”计算对应的累计现金流量，按照公式：本年累计净现金流量</w:t>
      </w:r>
      <w:r>
        <w:rPr>
          <w:rFonts w:ascii="宋体" w:eastAsia="宋体" w:hAnsi="宋体" w:cs="Calibri" w:hint="eastAsia"/>
          <w:kern w:val="0"/>
          <w:szCs w:val="21"/>
        </w:rPr>
        <w:t xml:space="preserve"> = </w:t>
      </w:r>
      <w:r>
        <w:rPr>
          <w:rFonts w:ascii="宋体" w:eastAsia="宋体" w:hAnsi="宋体" w:cs="Calibri" w:hint="eastAsia"/>
          <w:kern w:val="0"/>
          <w:szCs w:val="21"/>
        </w:rPr>
        <w:t>上期累计净现金流量</w:t>
      </w:r>
      <w:r>
        <w:rPr>
          <w:rFonts w:ascii="宋体" w:eastAsia="宋体" w:hAnsi="宋体" w:cs="Calibri" w:hint="eastAsia"/>
          <w:kern w:val="0"/>
          <w:szCs w:val="21"/>
        </w:rPr>
        <w:t>+</w:t>
      </w:r>
      <w:r>
        <w:rPr>
          <w:rFonts w:ascii="宋体" w:eastAsia="宋体" w:hAnsi="宋体" w:cs="Calibri" w:hint="eastAsia"/>
          <w:kern w:val="0"/>
          <w:szCs w:val="21"/>
        </w:rPr>
        <w:t>本期净现金流量，计算并填列“所得税后累计净现金流量”、“所得税前累计净现金流量”</w:t>
      </w:r>
    </w:p>
    <w:p w14:paraId="11EEA8F7" w14:textId="77777777" w:rsidR="00C577D9" w:rsidRDefault="00C52813">
      <w:pPr>
        <w:widowControl/>
        <w:snapToGrid w:val="0"/>
        <w:spacing w:line="360" w:lineRule="auto"/>
        <w:jc w:val="center"/>
        <w:rPr>
          <w:rFonts w:ascii="宋体" w:eastAsia="宋体" w:hAnsi="宋体" w:cs="Calibri"/>
          <w:kern w:val="0"/>
          <w:szCs w:val="21"/>
        </w:rPr>
      </w:pPr>
      <w:r>
        <w:rPr>
          <w:rFonts w:ascii="宋体" w:eastAsia="宋体" w:hAnsi="宋体"/>
          <w:noProof/>
          <w:szCs w:val="21"/>
        </w:rPr>
        <w:drawing>
          <wp:inline distT="0" distB="0" distL="0" distR="0" wp14:anchorId="7F7D32B7" wp14:editId="010FA1A0">
            <wp:extent cx="5274310" cy="680720"/>
            <wp:effectExtent l="0" t="0" r="254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a:stretch>
                      <a:fillRect/>
                    </a:stretch>
                  </pic:blipFill>
                  <pic:spPr>
                    <a:xfrm>
                      <a:off x="0" y="0"/>
                      <a:ext cx="5274310" cy="680720"/>
                    </a:xfrm>
                    <a:prstGeom prst="rect">
                      <a:avLst/>
                    </a:prstGeom>
                  </pic:spPr>
                </pic:pic>
              </a:graphicData>
            </a:graphic>
          </wp:inline>
        </w:drawing>
      </w:r>
    </w:p>
    <w:p w14:paraId="0BD4CEA5"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cs="Calibri" w:hint="eastAsia"/>
          <w:kern w:val="0"/>
          <w:szCs w:val="21"/>
        </w:rPr>
        <w:t>根据</w:t>
      </w:r>
      <w:r>
        <w:rPr>
          <w:rFonts w:ascii="宋体" w:eastAsia="宋体" w:hAnsi="宋体" w:cs="Calibri" w:hint="eastAsia"/>
          <w:kern w:val="0"/>
          <w:szCs w:val="21"/>
        </w:rPr>
        <w:t>公式：投资回收期</w:t>
      </w:r>
      <w:r>
        <w:rPr>
          <w:rFonts w:ascii="宋体" w:eastAsia="宋体" w:hAnsi="宋体" w:cs="Calibri"/>
          <w:kern w:val="0"/>
          <w:szCs w:val="21"/>
        </w:rPr>
        <w:t xml:space="preserve"> =</w:t>
      </w:r>
      <w:r>
        <w:rPr>
          <w:rFonts w:ascii="宋体" w:eastAsia="宋体" w:hAnsi="宋体" w:cs="Calibri"/>
          <w:kern w:val="0"/>
          <w:szCs w:val="21"/>
        </w:rPr>
        <w:t>（累计净现金流量开始出现正值的年份数</w:t>
      </w:r>
      <w:r>
        <w:rPr>
          <w:rFonts w:ascii="宋体" w:eastAsia="宋体" w:hAnsi="宋体" w:cs="Calibri"/>
          <w:kern w:val="0"/>
          <w:szCs w:val="21"/>
        </w:rPr>
        <w:t>—1</w:t>
      </w:r>
      <w:r>
        <w:rPr>
          <w:rFonts w:ascii="宋体" w:eastAsia="宋体" w:hAnsi="宋体" w:cs="Calibri"/>
          <w:kern w:val="0"/>
          <w:szCs w:val="21"/>
        </w:rPr>
        <w:t>）</w:t>
      </w:r>
      <w:r>
        <w:rPr>
          <w:rFonts w:ascii="宋体" w:eastAsia="宋体" w:hAnsi="宋体" w:cs="Calibri"/>
          <w:kern w:val="0"/>
          <w:szCs w:val="21"/>
        </w:rPr>
        <w:t>+</w:t>
      </w:r>
      <w:r>
        <w:rPr>
          <w:rFonts w:ascii="宋体" w:eastAsia="宋体" w:hAnsi="宋体" w:cs="Calibri"/>
          <w:kern w:val="0"/>
          <w:szCs w:val="21"/>
        </w:rPr>
        <w:t>上一年累计净现金流量的绝对值</w:t>
      </w:r>
      <w:r>
        <w:rPr>
          <w:rFonts w:ascii="宋体" w:eastAsia="宋体" w:hAnsi="宋体" w:cs="Calibri"/>
          <w:kern w:val="0"/>
          <w:szCs w:val="21"/>
        </w:rPr>
        <w:t xml:space="preserve"> / </w:t>
      </w:r>
      <w:r>
        <w:rPr>
          <w:rFonts w:ascii="宋体" w:eastAsia="宋体" w:hAnsi="宋体" w:cs="Calibri"/>
          <w:kern w:val="0"/>
          <w:szCs w:val="21"/>
        </w:rPr>
        <w:t>出现正值年份的净现金流量。</w:t>
      </w:r>
    </w:p>
    <w:p w14:paraId="7E084B48" w14:textId="77777777" w:rsidR="00C577D9" w:rsidRDefault="00C52813">
      <w:pPr>
        <w:widowControl/>
        <w:snapToGrid w:val="0"/>
        <w:spacing w:before="156" w:after="156"/>
        <w:jc w:val="left"/>
        <w:rPr>
          <w:rFonts w:ascii="Calibri" w:eastAsia="宋体" w:hAnsi="Calibri" w:cs="Calibri"/>
          <w:kern w:val="0"/>
          <w:szCs w:val="21"/>
        </w:rPr>
      </w:pPr>
      <w:r>
        <w:rPr>
          <w:noProof/>
        </w:rPr>
        <w:lastRenderedPageBreak/>
        <w:drawing>
          <wp:inline distT="0" distB="0" distL="0" distR="0" wp14:anchorId="4FB83670" wp14:editId="690D532F">
            <wp:extent cx="5274310" cy="108902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5274310" cy="1089025"/>
                    </a:xfrm>
                    <a:prstGeom prst="rect">
                      <a:avLst/>
                    </a:prstGeom>
                  </pic:spPr>
                </pic:pic>
              </a:graphicData>
            </a:graphic>
          </wp:inline>
        </w:drawing>
      </w:r>
    </w:p>
    <w:p w14:paraId="1F3D03F7" w14:textId="77777777" w:rsidR="00C577D9" w:rsidRDefault="00C52813">
      <w:pPr>
        <w:widowControl/>
        <w:snapToGrid w:val="0"/>
        <w:spacing w:before="156" w:after="156"/>
        <w:ind w:left="285" w:hanging="285"/>
        <w:rPr>
          <w:rFonts w:ascii="宋体" w:eastAsia="宋体" w:hAnsi="宋体" w:cs="Calibri"/>
          <w:b/>
          <w:bCs/>
          <w:kern w:val="0"/>
          <w:szCs w:val="21"/>
        </w:rPr>
      </w:pPr>
      <w:r>
        <w:rPr>
          <w:rFonts w:ascii="宋体" w:eastAsia="宋体" w:hAnsi="宋体" w:cs="Calibri"/>
          <w:b/>
          <w:bCs/>
          <w:kern w:val="0"/>
          <w:szCs w:val="21"/>
        </w:rPr>
        <w:t>3</w:t>
      </w:r>
      <w:r>
        <w:rPr>
          <w:rFonts w:ascii="宋体" w:eastAsia="宋体" w:hAnsi="宋体" w:cs="Calibri" w:hint="eastAsia"/>
          <w:b/>
          <w:bCs/>
          <w:kern w:val="0"/>
          <w:szCs w:val="21"/>
        </w:rPr>
        <w:t>、投资决策债券估值模块实验</w:t>
      </w:r>
    </w:p>
    <w:p w14:paraId="02CDE97C" w14:textId="77777777" w:rsidR="00C577D9" w:rsidRDefault="00C52813">
      <w:pPr>
        <w:pStyle w:val="a7"/>
        <w:snapToGrid w:val="0"/>
        <w:spacing w:line="360" w:lineRule="auto"/>
        <w:ind w:firstLine="0"/>
        <w:rPr>
          <w:rFonts w:ascii="宋体" w:hAnsi="宋体"/>
        </w:rPr>
      </w:pPr>
      <w:r>
        <w:rPr>
          <w:rFonts w:ascii="宋体" w:hAnsi="宋体" w:hint="eastAsia"/>
        </w:rPr>
        <w:t>根据</w:t>
      </w:r>
      <w:r>
        <w:rPr>
          <w:rFonts w:ascii="宋体" w:hAnsi="宋体" w:hint="eastAsia"/>
        </w:rPr>
        <w:t>&lt;</w:t>
      </w:r>
      <w:r>
        <w:rPr>
          <w:rFonts w:ascii="宋体" w:hAnsi="宋体" w:hint="eastAsia"/>
        </w:rPr>
        <w:t>上海证券交易所关于南翔贸易公开发行</w:t>
      </w:r>
      <w:r>
        <w:rPr>
          <w:rFonts w:ascii="宋体" w:hAnsi="宋体" w:hint="eastAsia"/>
        </w:rPr>
        <w:t>2016</w:t>
      </w:r>
      <w:r>
        <w:rPr>
          <w:rFonts w:ascii="宋体" w:hAnsi="宋体" w:hint="eastAsia"/>
        </w:rPr>
        <w:t>年公司债券（第二期）的通知</w:t>
      </w:r>
      <w:r>
        <w:rPr>
          <w:rFonts w:ascii="宋体" w:hAnsi="宋体" w:hint="eastAsia"/>
        </w:rPr>
        <w:t>&gt;</w:t>
      </w:r>
      <w:r>
        <w:rPr>
          <w:rFonts w:ascii="宋体" w:hAnsi="宋体" w:hint="eastAsia"/>
        </w:rPr>
        <w:t>的信息，了解债券的期限、票面利率、付息频率、面值、起息日、到期日、面值等信息，并填写相关指标信息。</w:t>
      </w:r>
    </w:p>
    <w:p w14:paraId="3082E9DA"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3F3D17FA" wp14:editId="25CDACDC">
            <wp:extent cx="5274310" cy="4683125"/>
            <wp:effectExtent l="0" t="0" r="254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2"/>
                    <a:stretch>
                      <a:fillRect/>
                    </a:stretch>
                  </pic:blipFill>
                  <pic:spPr>
                    <a:xfrm>
                      <a:off x="0" y="0"/>
                      <a:ext cx="5274310" cy="4683125"/>
                    </a:xfrm>
                    <a:prstGeom prst="rect">
                      <a:avLst/>
                    </a:prstGeom>
                  </pic:spPr>
                </pic:pic>
              </a:graphicData>
            </a:graphic>
          </wp:inline>
        </w:drawing>
      </w:r>
    </w:p>
    <w:p w14:paraId="295225B1"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根据设定的年名义收益率填写“到期收益率（年率）”指标。</w:t>
      </w:r>
    </w:p>
    <w:p w14:paraId="4F7CCB72"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5E6D41FF" wp14:editId="2089B7D1">
            <wp:extent cx="3648075" cy="11334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3"/>
                    <a:stretch>
                      <a:fillRect/>
                    </a:stretch>
                  </pic:blipFill>
                  <pic:spPr>
                    <a:xfrm>
                      <a:off x="0" y="0"/>
                      <a:ext cx="3648075" cy="1133475"/>
                    </a:xfrm>
                    <a:prstGeom prst="rect">
                      <a:avLst/>
                    </a:prstGeom>
                  </pic:spPr>
                </pic:pic>
              </a:graphicData>
            </a:graphic>
          </wp:inline>
        </w:drawing>
      </w:r>
    </w:p>
    <w:p w14:paraId="0195AD95" w14:textId="77777777" w:rsidR="00C577D9" w:rsidRDefault="00C52813">
      <w:pPr>
        <w:pStyle w:val="a7"/>
        <w:snapToGrid w:val="0"/>
        <w:spacing w:line="360" w:lineRule="auto"/>
        <w:ind w:firstLine="0"/>
        <w:rPr>
          <w:rFonts w:ascii="宋体" w:hAnsi="宋体"/>
        </w:rPr>
      </w:pPr>
      <w:r>
        <w:rPr>
          <w:rFonts w:ascii="宋体" w:hAnsi="宋体" w:hint="eastAsia"/>
        </w:rPr>
        <w:lastRenderedPageBreak/>
        <w:t>根据设定的评估日测算下一付息日时间，并填写该指标，债券的付息日在债券的发行信息中通常会有标注。</w:t>
      </w:r>
    </w:p>
    <w:p w14:paraId="6630E672" w14:textId="77777777" w:rsidR="00C577D9" w:rsidRDefault="00C52813">
      <w:pPr>
        <w:pStyle w:val="a7"/>
        <w:snapToGrid w:val="0"/>
        <w:spacing w:line="360" w:lineRule="auto"/>
        <w:ind w:firstLine="0"/>
        <w:rPr>
          <w:rFonts w:ascii="宋体" w:hAnsi="宋体"/>
        </w:rPr>
      </w:pPr>
      <w:r>
        <w:rPr>
          <w:rFonts w:ascii="宋体" w:hAnsi="宋体"/>
          <w:noProof/>
        </w:rPr>
        <w:drawing>
          <wp:inline distT="0" distB="0" distL="0" distR="0" wp14:anchorId="5E5DA125" wp14:editId="48FBE893">
            <wp:extent cx="3514725" cy="11144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4"/>
                    <a:stretch>
                      <a:fillRect/>
                    </a:stretch>
                  </pic:blipFill>
                  <pic:spPr>
                    <a:xfrm>
                      <a:off x="0" y="0"/>
                      <a:ext cx="3514725" cy="1114425"/>
                    </a:xfrm>
                    <a:prstGeom prst="rect">
                      <a:avLst/>
                    </a:prstGeom>
                  </pic:spPr>
                </pic:pic>
              </a:graphicData>
            </a:graphic>
          </wp:inline>
        </w:drawing>
      </w:r>
    </w:p>
    <w:p w14:paraId="7D05A1E4" w14:textId="77777777" w:rsidR="00C577D9" w:rsidRDefault="00C52813">
      <w:pPr>
        <w:pStyle w:val="a7"/>
        <w:snapToGrid w:val="0"/>
        <w:spacing w:line="360" w:lineRule="auto"/>
        <w:ind w:firstLine="0"/>
        <w:rPr>
          <w:rFonts w:ascii="宋体" w:hAnsi="宋体"/>
        </w:rPr>
      </w:pPr>
      <w:r>
        <w:rPr>
          <w:rFonts w:ascii="宋体" w:hAnsi="宋体" w:hint="eastAsia"/>
        </w:rPr>
        <w:t>计算评估日距下一付息日的时长，时长单位为“期数”，即每两个付息日中间的时长为</w:t>
      </w:r>
      <w:r>
        <w:rPr>
          <w:rFonts w:ascii="宋体" w:hAnsi="宋体" w:hint="eastAsia"/>
        </w:rPr>
        <w:t>1</w:t>
      </w:r>
      <w:r>
        <w:rPr>
          <w:rFonts w:ascii="宋体" w:hAnsi="宋体" w:hint="eastAsia"/>
        </w:rPr>
        <w:t>期。</w:t>
      </w:r>
    </w:p>
    <w:p w14:paraId="5C20A482" w14:textId="77777777" w:rsidR="00C577D9" w:rsidRDefault="00C52813">
      <w:pPr>
        <w:pStyle w:val="a7"/>
        <w:snapToGrid w:val="0"/>
        <w:spacing w:line="360" w:lineRule="auto"/>
        <w:ind w:firstLine="0"/>
        <w:rPr>
          <w:rFonts w:ascii="宋体" w:hAnsi="宋体"/>
        </w:rPr>
      </w:pPr>
      <w:r>
        <w:rPr>
          <w:rFonts w:ascii="宋体" w:hAnsi="宋体"/>
          <w:noProof/>
        </w:rPr>
        <w:drawing>
          <wp:inline distT="0" distB="0" distL="0" distR="0" wp14:anchorId="03162AF8" wp14:editId="047B1E3A">
            <wp:extent cx="3457575" cy="12573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a:stretch>
                      <a:fillRect/>
                    </a:stretch>
                  </pic:blipFill>
                  <pic:spPr>
                    <a:xfrm>
                      <a:off x="0" y="0"/>
                      <a:ext cx="3457575" cy="1257300"/>
                    </a:xfrm>
                    <a:prstGeom prst="rect">
                      <a:avLst/>
                    </a:prstGeom>
                  </pic:spPr>
                </pic:pic>
              </a:graphicData>
            </a:graphic>
          </wp:inline>
        </w:drawing>
      </w:r>
    </w:p>
    <w:p w14:paraId="6B53F2A7"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按照公式：每期贴现率</w:t>
      </w:r>
      <w:r>
        <w:rPr>
          <w:rFonts w:ascii="宋体" w:eastAsia="宋体" w:hAnsi="宋体" w:cs="宋体" w:hint="eastAsia"/>
          <w:szCs w:val="21"/>
        </w:rPr>
        <w:t xml:space="preserve"> = </w:t>
      </w:r>
      <w:r>
        <w:rPr>
          <w:rFonts w:ascii="宋体" w:eastAsia="宋体" w:hAnsi="宋体" w:cs="宋体" w:hint="eastAsia"/>
          <w:szCs w:val="21"/>
        </w:rPr>
        <w:t>到期收益率（年率）</w:t>
      </w:r>
      <w:r>
        <w:rPr>
          <w:rFonts w:ascii="宋体" w:eastAsia="宋体" w:hAnsi="宋体" w:cs="宋体" w:hint="eastAsia"/>
          <w:szCs w:val="21"/>
        </w:rPr>
        <w:t xml:space="preserve">/ </w:t>
      </w:r>
      <w:r>
        <w:rPr>
          <w:rFonts w:ascii="宋体" w:eastAsia="宋体" w:hAnsi="宋体" w:cs="宋体" w:hint="eastAsia"/>
          <w:szCs w:val="21"/>
        </w:rPr>
        <w:t>每年付息次数，计算每期的贴现率。</w:t>
      </w:r>
    </w:p>
    <w:p w14:paraId="0E90F24C"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0243380C" wp14:editId="67C9C577">
            <wp:extent cx="3448050" cy="12192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6"/>
                    <a:stretch>
                      <a:fillRect/>
                    </a:stretch>
                  </pic:blipFill>
                  <pic:spPr>
                    <a:xfrm>
                      <a:off x="0" y="0"/>
                      <a:ext cx="3448050" cy="1219200"/>
                    </a:xfrm>
                    <a:prstGeom prst="rect">
                      <a:avLst/>
                    </a:prstGeom>
                  </pic:spPr>
                </pic:pic>
              </a:graphicData>
            </a:graphic>
          </wp:inline>
        </w:drawing>
      </w:r>
    </w:p>
    <w:p w14:paraId="69AC0A60"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按照公式：每期利息</w:t>
      </w:r>
      <w:r>
        <w:rPr>
          <w:rFonts w:ascii="宋体" w:eastAsia="宋体" w:hAnsi="宋体" w:cs="宋体" w:hint="eastAsia"/>
          <w:szCs w:val="21"/>
        </w:rPr>
        <w:t xml:space="preserve"> = </w:t>
      </w:r>
      <w:r>
        <w:rPr>
          <w:rFonts w:ascii="宋体" w:eastAsia="宋体" w:hAnsi="宋体" w:cs="宋体" w:hint="eastAsia"/>
          <w:szCs w:val="21"/>
        </w:rPr>
        <w:t>面值×票面年利率</w:t>
      </w:r>
      <w:r>
        <w:rPr>
          <w:rFonts w:ascii="宋体" w:eastAsia="宋体" w:hAnsi="宋体" w:cs="宋体" w:hint="eastAsia"/>
          <w:szCs w:val="21"/>
        </w:rPr>
        <w:t xml:space="preserve"> / </w:t>
      </w:r>
      <w:r>
        <w:rPr>
          <w:rFonts w:ascii="宋体" w:eastAsia="宋体" w:hAnsi="宋体" w:cs="宋体" w:hint="eastAsia"/>
          <w:szCs w:val="21"/>
        </w:rPr>
        <w:t>每年付息次数，计算每期的利息。</w:t>
      </w:r>
    </w:p>
    <w:p w14:paraId="0816EAA2"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42A9621E" wp14:editId="7725F475">
            <wp:extent cx="3476625" cy="12287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a:stretch>
                      <a:fillRect/>
                    </a:stretch>
                  </pic:blipFill>
                  <pic:spPr>
                    <a:xfrm>
                      <a:off x="0" y="0"/>
                      <a:ext cx="3476625" cy="1228725"/>
                    </a:xfrm>
                    <a:prstGeom prst="rect">
                      <a:avLst/>
                    </a:prstGeom>
                  </pic:spPr>
                </pic:pic>
              </a:graphicData>
            </a:graphic>
          </wp:inline>
        </w:drawing>
      </w:r>
    </w:p>
    <w:p w14:paraId="7233EF96"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根据每期利息填写每期的现金流，最后一期现金流为：每期利息</w:t>
      </w:r>
      <w:r>
        <w:rPr>
          <w:rFonts w:ascii="宋体" w:eastAsia="宋体" w:hAnsi="宋体" w:cs="宋体" w:hint="eastAsia"/>
          <w:szCs w:val="21"/>
        </w:rPr>
        <w:t xml:space="preserve"> + </w:t>
      </w:r>
      <w:r>
        <w:rPr>
          <w:rFonts w:ascii="宋体" w:eastAsia="宋体" w:hAnsi="宋体" w:cs="宋体" w:hint="eastAsia"/>
          <w:szCs w:val="21"/>
        </w:rPr>
        <w:t>债券面值。</w:t>
      </w:r>
    </w:p>
    <w:p w14:paraId="4D7B4A2C"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06202B5D" wp14:editId="1B2C2FD5">
            <wp:extent cx="5274310" cy="143764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
                    <a:stretch>
                      <a:fillRect/>
                    </a:stretch>
                  </pic:blipFill>
                  <pic:spPr>
                    <a:xfrm>
                      <a:off x="0" y="0"/>
                      <a:ext cx="5274310" cy="1437640"/>
                    </a:xfrm>
                    <a:prstGeom prst="rect">
                      <a:avLst/>
                    </a:prstGeom>
                  </pic:spPr>
                </pic:pic>
              </a:graphicData>
            </a:graphic>
          </wp:inline>
        </w:drawing>
      </w:r>
    </w:p>
    <w:p w14:paraId="0DD95D6B" w14:textId="77777777" w:rsidR="00C577D9" w:rsidRDefault="00C52813">
      <w:pPr>
        <w:widowControl/>
        <w:snapToGrid w:val="0"/>
        <w:spacing w:line="360" w:lineRule="auto"/>
        <w:jc w:val="left"/>
        <w:rPr>
          <w:rFonts w:ascii="宋体" w:eastAsia="宋体" w:hAnsi="宋体" w:cs="宋体"/>
          <w:szCs w:val="21"/>
        </w:rPr>
      </w:pPr>
      <w:r>
        <w:rPr>
          <w:rFonts w:ascii="宋体" w:eastAsia="宋体" w:hAnsi="宋体" w:cs="宋体" w:hint="eastAsia"/>
          <w:szCs w:val="21"/>
        </w:rPr>
        <w:t>折现时长（期）按照公式：第</w:t>
      </w:r>
      <w:r>
        <w:rPr>
          <w:rFonts w:ascii="宋体" w:eastAsia="宋体" w:hAnsi="宋体" w:cs="宋体" w:hint="eastAsia"/>
          <w:szCs w:val="21"/>
        </w:rPr>
        <w:t>N</w:t>
      </w:r>
      <w:r>
        <w:rPr>
          <w:rFonts w:ascii="宋体" w:eastAsia="宋体" w:hAnsi="宋体" w:cs="宋体" w:hint="eastAsia"/>
          <w:szCs w:val="21"/>
        </w:rPr>
        <w:t>期折现时长</w:t>
      </w:r>
      <w:r>
        <w:rPr>
          <w:rFonts w:ascii="宋体" w:eastAsia="宋体" w:hAnsi="宋体" w:cs="宋体" w:hint="eastAsia"/>
          <w:szCs w:val="21"/>
        </w:rPr>
        <w:t xml:space="preserve"> = N - 1 + </w:t>
      </w:r>
      <w:r>
        <w:rPr>
          <w:rFonts w:ascii="宋体" w:eastAsia="宋体" w:hAnsi="宋体" w:cs="宋体" w:hint="eastAsia"/>
          <w:szCs w:val="21"/>
        </w:rPr>
        <w:t>评估日距下一付息日</w:t>
      </w:r>
      <w:r>
        <w:rPr>
          <w:rFonts w:ascii="宋体" w:eastAsia="宋体" w:hAnsi="宋体" w:cs="宋体" w:hint="eastAsia"/>
          <w:szCs w:val="21"/>
        </w:rPr>
        <w:t>时长（期）。</w:t>
      </w:r>
    </w:p>
    <w:p w14:paraId="66E186C5"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0933B5D4" wp14:editId="1FD34961">
            <wp:extent cx="5274310" cy="13906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9"/>
                    <a:stretch>
                      <a:fillRect/>
                    </a:stretch>
                  </pic:blipFill>
                  <pic:spPr>
                    <a:xfrm>
                      <a:off x="0" y="0"/>
                      <a:ext cx="5274310" cy="1390650"/>
                    </a:xfrm>
                    <a:prstGeom prst="rect">
                      <a:avLst/>
                    </a:prstGeom>
                  </pic:spPr>
                </pic:pic>
              </a:graphicData>
            </a:graphic>
          </wp:inline>
        </w:drawing>
      </w:r>
    </w:p>
    <w:p w14:paraId="74FC168B" w14:textId="77777777" w:rsidR="00C577D9" w:rsidRDefault="00C52813">
      <w:pPr>
        <w:pStyle w:val="a7"/>
        <w:snapToGrid w:val="0"/>
        <w:spacing w:line="360" w:lineRule="auto"/>
        <w:ind w:firstLine="0"/>
        <w:rPr>
          <w:rFonts w:ascii="宋体" w:hAnsi="宋体"/>
        </w:rPr>
      </w:pPr>
      <w:r>
        <w:rPr>
          <w:rFonts w:ascii="宋体" w:hAnsi="宋体" w:hint="eastAsia"/>
        </w:rPr>
        <w:t>现值根据公式：每期现金流现值</w:t>
      </w:r>
      <w:r>
        <w:rPr>
          <w:rFonts w:ascii="宋体" w:hAnsi="宋体" w:hint="eastAsia"/>
        </w:rPr>
        <w:t xml:space="preserve"> = </w:t>
      </w:r>
      <w:r>
        <w:rPr>
          <w:rFonts w:ascii="宋体" w:hAnsi="宋体" w:hint="eastAsia"/>
        </w:rPr>
        <w:t>每期现金流</w:t>
      </w:r>
      <w:r>
        <w:rPr>
          <w:rFonts w:ascii="宋体" w:hAnsi="宋体" w:hint="eastAsia"/>
        </w:rPr>
        <w:t xml:space="preserve"> /</w:t>
      </w:r>
      <w:r>
        <w:rPr>
          <w:rFonts w:ascii="宋体" w:hAnsi="宋体" w:hint="eastAsia"/>
        </w:rPr>
        <w:t>（（</w:t>
      </w:r>
      <w:r>
        <w:rPr>
          <w:rFonts w:ascii="宋体" w:hAnsi="宋体" w:hint="eastAsia"/>
        </w:rPr>
        <w:t xml:space="preserve">1 + </w:t>
      </w:r>
      <w:r>
        <w:rPr>
          <w:rFonts w:ascii="宋体" w:hAnsi="宋体" w:hint="eastAsia"/>
        </w:rPr>
        <w:t>每期贴现率）</w:t>
      </w:r>
      <w:r>
        <w:rPr>
          <w:rFonts w:ascii="宋体" w:hAnsi="宋体" w:hint="eastAsia"/>
        </w:rPr>
        <w:t>^</w:t>
      </w:r>
      <w:r>
        <w:rPr>
          <w:rFonts w:ascii="宋体" w:hAnsi="宋体" w:hint="eastAsia"/>
        </w:rPr>
        <w:t>期数），计算每期现金流现值。</w:t>
      </w:r>
    </w:p>
    <w:p w14:paraId="05F9D0AE"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07B2CD08" wp14:editId="7170679F">
            <wp:extent cx="5274310" cy="141732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0"/>
                    <a:stretch>
                      <a:fillRect/>
                    </a:stretch>
                  </pic:blipFill>
                  <pic:spPr>
                    <a:xfrm>
                      <a:off x="0" y="0"/>
                      <a:ext cx="5274310" cy="1417320"/>
                    </a:xfrm>
                    <a:prstGeom prst="rect">
                      <a:avLst/>
                    </a:prstGeom>
                  </pic:spPr>
                </pic:pic>
              </a:graphicData>
            </a:graphic>
          </wp:inline>
        </w:drawing>
      </w:r>
    </w:p>
    <w:p w14:paraId="5BC75231" w14:textId="77777777" w:rsidR="00C577D9" w:rsidRDefault="00C52813">
      <w:pPr>
        <w:pStyle w:val="a7"/>
        <w:snapToGrid w:val="0"/>
        <w:spacing w:line="360" w:lineRule="auto"/>
        <w:ind w:firstLine="0"/>
        <w:rPr>
          <w:rFonts w:ascii="宋体" w:hAnsi="宋体"/>
        </w:rPr>
      </w:pPr>
      <w:r>
        <w:rPr>
          <w:rFonts w:ascii="宋体" w:hAnsi="宋体" w:hint="eastAsia"/>
        </w:rPr>
        <w:t>股票价值根据公式：股票价值</w:t>
      </w:r>
      <w:r>
        <w:rPr>
          <w:rFonts w:ascii="宋体" w:hAnsi="宋体" w:hint="eastAsia"/>
        </w:rPr>
        <w:t xml:space="preserve"> = </w:t>
      </w:r>
      <w:r>
        <w:rPr>
          <w:rFonts w:ascii="宋体" w:hAnsi="宋体" w:hint="eastAsia"/>
        </w:rPr>
        <w:t>Σ每期现金流现值。</w:t>
      </w:r>
    </w:p>
    <w:p w14:paraId="08A8F75F" w14:textId="77777777" w:rsidR="00C577D9" w:rsidRDefault="00C52813">
      <w:pPr>
        <w:widowControl/>
        <w:snapToGrid w:val="0"/>
        <w:spacing w:before="156" w:after="156"/>
        <w:jc w:val="left"/>
        <w:rPr>
          <w:rFonts w:ascii="宋体" w:eastAsia="宋体" w:hAnsi="宋体" w:cs="Calibri"/>
          <w:kern w:val="0"/>
          <w:szCs w:val="21"/>
        </w:rPr>
      </w:pPr>
      <w:r>
        <w:rPr>
          <w:noProof/>
        </w:rPr>
        <w:drawing>
          <wp:inline distT="0" distB="0" distL="0" distR="0" wp14:anchorId="0044360D" wp14:editId="53DA4ACB">
            <wp:extent cx="5274310" cy="1350010"/>
            <wp:effectExtent l="0" t="0" r="254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1"/>
                    <a:stretch>
                      <a:fillRect/>
                    </a:stretch>
                  </pic:blipFill>
                  <pic:spPr>
                    <a:xfrm>
                      <a:off x="0" y="0"/>
                      <a:ext cx="5274310" cy="1350010"/>
                    </a:xfrm>
                    <a:prstGeom prst="rect">
                      <a:avLst/>
                    </a:prstGeom>
                  </pic:spPr>
                </pic:pic>
              </a:graphicData>
            </a:graphic>
          </wp:inline>
        </w:drawing>
      </w:r>
    </w:p>
    <w:p w14:paraId="5526BB9F" w14:textId="77777777" w:rsidR="00C577D9" w:rsidRDefault="00C52813">
      <w:pPr>
        <w:widowControl/>
        <w:snapToGrid w:val="0"/>
        <w:spacing w:before="156" w:after="156"/>
        <w:ind w:left="285" w:hanging="285"/>
        <w:rPr>
          <w:rFonts w:ascii="宋体" w:eastAsia="宋体" w:hAnsi="宋体" w:cs="Calibri"/>
          <w:b/>
          <w:bCs/>
          <w:kern w:val="0"/>
          <w:szCs w:val="21"/>
        </w:rPr>
      </w:pPr>
      <w:r>
        <w:rPr>
          <w:rFonts w:ascii="宋体" w:eastAsia="宋体" w:hAnsi="宋体" w:cs="Calibri"/>
          <w:b/>
          <w:bCs/>
          <w:kern w:val="0"/>
          <w:szCs w:val="21"/>
        </w:rPr>
        <w:t>4</w:t>
      </w:r>
      <w:r>
        <w:rPr>
          <w:rFonts w:ascii="宋体" w:eastAsia="宋体" w:hAnsi="宋体" w:cs="Calibri" w:hint="eastAsia"/>
          <w:b/>
          <w:bCs/>
          <w:kern w:val="0"/>
          <w:szCs w:val="21"/>
        </w:rPr>
        <w:t>、投资决策股票估值模块实验</w:t>
      </w:r>
    </w:p>
    <w:p w14:paraId="49F8A0DF"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1</w:t>
      </w:r>
      <w:r>
        <w:rPr>
          <w:rFonts w:ascii="宋体" w:eastAsia="宋体" w:hAnsi="宋体" w:cs="Calibri" w:hint="eastAsia"/>
          <w:kern w:val="0"/>
          <w:szCs w:val="21"/>
        </w:rPr>
        <w:t>）计算估值指标</w:t>
      </w:r>
    </w:p>
    <w:p w14:paraId="62406A3E"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kern w:val="0"/>
          <w:szCs w:val="21"/>
        </w:rPr>
        <w:t> </w:t>
      </w:r>
      <w:r>
        <w:rPr>
          <w:rFonts w:ascii="宋体" w:eastAsia="宋体" w:hAnsi="宋体" w:cs="Calibri" w:hint="eastAsia"/>
          <w:kern w:val="0"/>
          <w:szCs w:val="21"/>
        </w:rPr>
        <w:t>根据</w:t>
      </w:r>
      <w:r>
        <w:rPr>
          <w:rFonts w:ascii="宋体" w:eastAsia="宋体" w:hAnsi="宋体" w:cs="Calibri" w:hint="eastAsia"/>
          <w:kern w:val="0"/>
          <w:szCs w:val="21"/>
        </w:rPr>
        <w:t>&lt;</w:t>
      </w:r>
      <w:r>
        <w:rPr>
          <w:rFonts w:ascii="宋体" w:eastAsia="宋体" w:hAnsi="宋体" w:cs="Calibri" w:hint="eastAsia"/>
          <w:kern w:val="0"/>
          <w:szCs w:val="21"/>
        </w:rPr>
        <w:t>三安光电财务指标统计表</w:t>
      </w:r>
      <w:r>
        <w:rPr>
          <w:rFonts w:ascii="宋体" w:eastAsia="宋体" w:hAnsi="宋体" w:cs="Calibri" w:hint="eastAsia"/>
          <w:kern w:val="0"/>
          <w:szCs w:val="21"/>
        </w:rPr>
        <w:t>&gt;</w:t>
      </w:r>
      <w:r>
        <w:rPr>
          <w:rFonts w:ascii="宋体" w:eastAsia="宋体" w:hAnsi="宋体" w:cs="Calibri" w:hint="eastAsia"/>
          <w:kern w:val="0"/>
          <w:szCs w:val="21"/>
        </w:rPr>
        <w:t>中数据填写“净利润”、“净资产”指标</w:t>
      </w:r>
    </w:p>
    <w:p w14:paraId="5C38C78E"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78741ED1" wp14:editId="19CF34AF">
            <wp:extent cx="5274310" cy="3688715"/>
            <wp:effectExtent l="0" t="0" r="254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2"/>
                    <a:stretch>
                      <a:fillRect/>
                    </a:stretch>
                  </pic:blipFill>
                  <pic:spPr>
                    <a:xfrm>
                      <a:off x="0" y="0"/>
                      <a:ext cx="5274310" cy="3688715"/>
                    </a:xfrm>
                    <a:prstGeom prst="rect">
                      <a:avLst/>
                    </a:prstGeom>
                  </pic:spPr>
                </pic:pic>
              </a:graphicData>
            </a:graphic>
          </wp:inline>
        </w:drawing>
      </w:r>
    </w:p>
    <w:p w14:paraId="094C762B"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根据</w:t>
      </w:r>
      <w:r>
        <w:rPr>
          <w:rFonts w:ascii="宋体" w:eastAsia="宋体" w:hAnsi="宋体" w:hint="eastAsia"/>
          <w:szCs w:val="21"/>
        </w:rPr>
        <w:t>&lt;</w:t>
      </w:r>
      <w:r>
        <w:rPr>
          <w:rFonts w:ascii="宋体" w:eastAsia="宋体" w:hAnsi="宋体" w:hint="eastAsia"/>
          <w:szCs w:val="21"/>
        </w:rPr>
        <w:t>三安光电年度分红政策统计表</w:t>
      </w:r>
      <w:r>
        <w:rPr>
          <w:rFonts w:ascii="宋体" w:eastAsia="宋体" w:hAnsi="宋体" w:hint="eastAsia"/>
          <w:szCs w:val="21"/>
        </w:rPr>
        <w:t>&gt;</w:t>
      </w:r>
      <w:r>
        <w:rPr>
          <w:rFonts w:ascii="宋体" w:eastAsia="宋体" w:hAnsi="宋体" w:hint="eastAsia"/>
          <w:szCs w:val="21"/>
        </w:rPr>
        <w:t>中数据填写“分配股利”、“每股股利”指标</w:t>
      </w:r>
    </w:p>
    <w:p w14:paraId="555E1275"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3D24E1AF" wp14:editId="4AF2D4AF">
            <wp:extent cx="5274310" cy="3579495"/>
            <wp:effectExtent l="0" t="0" r="254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stretch>
                      <a:fillRect/>
                    </a:stretch>
                  </pic:blipFill>
                  <pic:spPr>
                    <a:xfrm>
                      <a:off x="0" y="0"/>
                      <a:ext cx="5274310" cy="3579495"/>
                    </a:xfrm>
                    <a:prstGeom prst="rect">
                      <a:avLst/>
                    </a:prstGeom>
                  </pic:spPr>
                </pic:pic>
              </a:graphicData>
            </a:graphic>
          </wp:inline>
        </w:drawing>
      </w:r>
    </w:p>
    <w:p w14:paraId="14F6ED3F"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根据</w:t>
      </w:r>
      <w:r>
        <w:rPr>
          <w:rFonts w:ascii="宋体" w:eastAsia="宋体" w:hAnsi="宋体" w:hint="eastAsia"/>
          <w:szCs w:val="21"/>
        </w:rPr>
        <w:t>&lt;</w:t>
      </w:r>
      <w:r>
        <w:rPr>
          <w:rFonts w:ascii="宋体" w:eastAsia="宋体" w:hAnsi="宋体" w:hint="eastAsia"/>
          <w:szCs w:val="21"/>
        </w:rPr>
        <w:t>股价分时图</w:t>
      </w:r>
      <w:r>
        <w:rPr>
          <w:rFonts w:ascii="宋体" w:eastAsia="宋体" w:hAnsi="宋体" w:hint="eastAsia"/>
          <w:szCs w:val="21"/>
        </w:rPr>
        <w:t>&gt;</w:t>
      </w:r>
      <w:r>
        <w:rPr>
          <w:rFonts w:ascii="宋体" w:eastAsia="宋体" w:hAnsi="宋体" w:hint="eastAsia"/>
          <w:szCs w:val="21"/>
        </w:rPr>
        <w:t>中数据填写“股票价格”指标</w:t>
      </w:r>
    </w:p>
    <w:p w14:paraId="5FF83C16"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60D61CCE" wp14:editId="111C05DF">
            <wp:extent cx="5274310" cy="4281805"/>
            <wp:effectExtent l="0" t="0" r="254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a:stretch>
                      <a:fillRect/>
                    </a:stretch>
                  </pic:blipFill>
                  <pic:spPr>
                    <a:xfrm>
                      <a:off x="0" y="0"/>
                      <a:ext cx="5274310" cy="4281805"/>
                    </a:xfrm>
                    <a:prstGeom prst="rect">
                      <a:avLst/>
                    </a:prstGeom>
                  </pic:spPr>
                </pic:pic>
              </a:graphicData>
            </a:graphic>
          </wp:inline>
        </w:drawing>
      </w:r>
    </w:p>
    <w:p w14:paraId="51260CA8"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根据财务指标计算留存收益</w:t>
      </w:r>
      <w:r>
        <w:rPr>
          <w:rFonts w:ascii="宋体" w:eastAsia="宋体" w:hAnsi="宋体" w:cs="Calibri" w:hint="eastAsia"/>
          <w:kern w:val="0"/>
          <w:szCs w:val="21"/>
        </w:rPr>
        <w:t>=</w:t>
      </w:r>
      <w:r>
        <w:rPr>
          <w:rFonts w:ascii="宋体" w:eastAsia="宋体" w:hAnsi="宋体" w:cs="Calibri" w:hint="eastAsia"/>
          <w:kern w:val="0"/>
          <w:szCs w:val="21"/>
        </w:rPr>
        <w:t>每股净利润</w:t>
      </w:r>
      <w:r>
        <w:rPr>
          <w:rFonts w:ascii="宋体" w:eastAsia="宋体" w:hAnsi="宋体" w:cs="Calibri" w:hint="eastAsia"/>
          <w:kern w:val="0"/>
          <w:szCs w:val="21"/>
        </w:rPr>
        <w:t>-</w:t>
      </w:r>
      <w:r>
        <w:rPr>
          <w:rFonts w:ascii="宋体" w:eastAsia="宋体" w:hAnsi="宋体" w:cs="Calibri" w:hint="eastAsia"/>
          <w:kern w:val="0"/>
          <w:szCs w:val="21"/>
        </w:rPr>
        <w:t>每股股利；</w:t>
      </w:r>
    </w:p>
    <w:p w14:paraId="3BC05BC1"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根据财务指标计算留存收益比率</w:t>
      </w:r>
      <w:r>
        <w:rPr>
          <w:rFonts w:ascii="宋体" w:eastAsia="宋体" w:hAnsi="宋体" w:cs="Calibri" w:hint="eastAsia"/>
          <w:kern w:val="0"/>
          <w:szCs w:val="21"/>
        </w:rPr>
        <w:t>=</w:t>
      </w:r>
      <w:r>
        <w:rPr>
          <w:rFonts w:ascii="宋体" w:eastAsia="宋体" w:hAnsi="宋体" w:cs="Calibri" w:hint="eastAsia"/>
          <w:kern w:val="0"/>
          <w:szCs w:val="21"/>
        </w:rPr>
        <w:t>留存收益</w:t>
      </w:r>
      <w:r>
        <w:rPr>
          <w:rFonts w:ascii="宋体" w:eastAsia="宋体" w:hAnsi="宋体" w:cs="Calibri" w:hint="eastAsia"/>
          <w:kern w:val="0"/>
          <w:szCs w:val="21"/>
        </w:rPr>
        <w:t>/</w:t>
      </w:r>
      <w:r>
        <w:rPr>
          <w:rFonts w:ascii="宋体" w:eastAsia="宋体" w:hAnsi="宋体" w:cs="Calibri" w:hint="eastAsia"/>
          <w:kern w:val="0"/>
          <w:szCs w:val="21"/>
        </w:rPr>
        <w:t>净利润；</w:t>
      </w:r>
    </w:p>
    <w:p w14:paraId="5D8CC2F8"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根据财务指标计算净资产收益率</w:t>
      </w:r>
      <w:r>
        <w:rPr>
          <w:rFonts w:ascii="宋体" w:eastAsia="宋体" w:hAnsi="宋体" w:cs="Calibri" w:hint="eastAsia"/>
          <w:kern w:val="0"/>
          <w:szCs w:val="21"/>
        </w:rPr>
        <w:t>=</w:t>
      </w:r>
      <w:r>
        <w:rPr>
          <w:rFonts w:ascii="宋体" w:eastAsia="宋体" w:hAnsi="宋体" w:cs="Calibri" w:hint="eastAsia"/>
          <w:kern w:val="0"/>
          <w:szCs w:val="21"/>
        </w:rPr>
        <w:t>净利润</w:t>
      </w:r>
      <w:r>
        <w:rPr>
          <w:rFonts w:ascii="宋体" w:eastAsia="宋体" w:hAnsi="宋体" w:cs="Calibri" w:hint="eastAsia"/>
          <w:kern w:val="0"/>
          <w:szCs w:val="21"/>
        </w:rPr>
        <w:t>/</w:t>
      </w:r>
      <w:r>
        <w:rPr>
          <w:rFonts w:ascii="宋体" w:eastAsia="宋体" w:hAnsi="宋体" w:cs="Calibri" w:hint="eastAsia"/>
          <w:kern w:val="0"/>
          <w:szCs w:val="21"/>
        </w:rPr>
        <w:t>净资产；</w:t>
      </w:r>
    </w:p>
    <w:p w14:paraId="7C208559"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7B19F93A" wp14:editId="2E7B0F45">
            <wp:extent cx="4257675" cy="7905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5"/>
                    <a:stretch>
                      <a:fillRect/>
                    </a:stretch>
                  </pic:blipFill>
                  <pic:spPr>
                    <a:xfrm>
                      <a:off x="0" y="0"/>
                      <a:ext cx="4257675" cy="790575"/>
                    </a:xfrm>
                    <a:prstGeom prst="rect">
                      <a:avLst/>
                    </a:prstGeom>
                  </pic:spPr>
                </pic:pic>
              </a:graphicData>
            </a:graphic>
          </wp:inline>
        </w:drawing>
      </w:r>
    </w:p>
    <w:p w14:paraId="06A89EB2"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根据财务指标计算公司增长率</w:t>
      </w:r>
      <w:r>
        <w:rPr>
          <w:rFonts w:ascii="宋体" w:eastAsia="宋体" w:hAnsi="宋体" w:cs="Calibri" w:hint="eastAsia"/>
          <w:kern w:val="0"/>
          <w:szCs w:val="21"/>
        </w:rPr>
        <w:t>=</w:t>
      </w:r>
      <w:r>
        <w:rPr>
          <w:rFonts w:ascii="宋体" w:eastAsia="宋体" w:hAnsi="宋体" w:cs="Calibri" w:hint="eastAsia"/>
          <w:kern w:val="0"/>
          <w:szCs w:val="21"/>
        </w:rPr>
        <w:t>留存收益比率</w:t>
      </w:r>
      <w:r>
        <w:rPr>
          <w:rFonts w:ascii="宋体" w:eastAsia="宋体" w:hAnsi="宋体" w:cs="Calibri" w:hint="eastAsia"/>
          <w:kern w:val="0"/>
          <w:szCs w:val="21"/>
        </w:rPr>
        <w:t>*</w:t>
      </w:r>
      <w:r>
        <w:rPr>
          <w:rFonts w:ascii="宋体" w:eastAsia="宋体" w:hAnsi="宋体" w:cs="Calibri" w:hint="eastAsia"/>
          <w:kern w:val="0"/>
          <w:szCs w:val="21"/>
        </w:rPr>
        <w:t>净资产收益率；</w:t>
      </w:r>
    </w:p>
    <w:p w14:paraId="0DDCD3C8"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根据财务指标计算必要收益率</w:t>
      </w:r>
      <w:r>
        <w:rPr>
          <w:rFonts w:ascii="宋体" w:eastAsia="宋体" w:hAnsi="宋体" w:cs="Calibri" w:hint="eastAsia"/>
          <w:kern w:val="0"/>
          <w:szCs w:val="21"/>
        </w:rPr>
        <w:t>=</w:t>
      </w:r>
      <w:r>
        <w:rPr>
          <w:rFonts w:ascii="宋体" w:eastAsia="宋体" w:hAnsi="宋体" w:cs="Calibri" w:hint="eastAsia"/>
          <w:kern w:val="0"/>
          <w:szCs w:val="21"/>
        </w:rPr>
        <w:t>每股股利</w:t>
      </w:r>
      <w:r>
        <w:rPr>
          <w:rFonts w:ascii="宋体" w:eastAsia="宋体" w:hAnsi="宋体" w:cs="Calibri" w:hint="eastAsia"/>
          <w:kern w:val="0"/>
          <w:szCs w:val="21"/>
        </w:rPr>
        <w:t>/</w:t>
      </w:r>
      <w:r>
        <w:rPr>
          <w:rFonts w:ascii="宋体" w:eastAsia="宋体" w:hAnsi="宋体" w:cs="Calibri" w:hint="eastAsia"/>
          <w:kern w:val="0"/>
          <w:szCs w:val="21"/>
        </w:rPr>
        <w:t>股票价格</w:t>
      </w:r>
      <w:r>
        <w:rPr>
          <w:rFonts w:ascii="宋体" w:eastAsia="宋体" w:hAnsi="宋体" w:cs="Calibri" w:hint="eastAsia"/>
          <w:kern w:val="0"/>
          <w:szCs w:val="21"/>
        </w:rPr>
        <w:t>+</w:t>
      </w:r>
      <w:r>
        <w:rPr>
          <w:rFonts w:ascii="宋体" w:eastAsia="宋体" w:hAnsi="宋体" w:cs="Calibri" w:hint="eastAsia"/>
          <w:kern w:val="0"/>
          <w:szCs w:val="21"/>
        </w:rPr>
        <w:t>公司增长率。</w:t>
      </w:r>
    </w:p>
    <w:p w14:paraId="6BB54D36"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4205A4CE" wp14:editId="6D904B66">
            <wp:extent cx="4238625" cy="7620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6"/>
                    <a:stretch>
                      <a:fillRect/>
                    </a:stretch>
                  </pic:blipFill>
                  <pic:spPr>
                    <a:xfrm>
                      <a:off x="0" y="0"/>
                      <a:ext cx="4238625" cy="762000"/>
                    </a:xfrm>
                    <a:prstGeom prst="rect">
                      <a:avLst/>
                    </a:prstGeom>
                  </pic:spPr>
                </pic:pic>
              </a:graphicData>
            </a:graphic>
          </wp:inline>
        </w:drawing>
      </w:r>
    </w:p>
    <w:p w14:paraId="255FFB3E"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2</w:t>
      </w:r>
      <w:r>
        <w:rPr>
          <w:rFonts w:ascii="宋体" w:eastAsia="宋体" w:hAnsi="宋体" w:cs="Calibri" w:hint="eastAsia"/>
          <w:kern w:val="0"/>
          <w:szCs w:val="21"/>
        </w:rPr>
        <w:t>）股利零增长情形股票估值</w:t>
      </w:r>
    </w:p>
    <w:p w14:paraId="6E363F47"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设定每年固定发放股利的情形，查看公司案例中</w:t>
      </w:r>
      <w:r>
        <w:rPr>
          <w:rFonts w:ascii="宋体" w:eastAsia="宋体" w:hAnsi="宋体" w:hint="eastAsia"/>
          <w:szCs w:val="21"/>
        </w:rPr>
        <w:t>&lt;</w:t>
      </w:r>
      <w:r>
        <w:rPr>
          <w:rFonts w:ascii="宋体" w:eastAsia="宋体" w:hAnsi="宋体" w:hint="eastAsia"/>
          <w:szCs w:val="21"/>
        </w:rPr>
        <w:t>三安光电年度分红政策统计表</w:t>
      </w:r>
      <w:r>
        <w:rPr>
          <w:rFonts w:ascii="宋体" w:eastAsia="宋体" w:hAnsi="宋体" w:hint="eastAsia"/>
          <w:szCs w:val="21"/>
        </w:rPr>
        <w:t>&gt;</w:t>
      </w:r>
      <w:r>
        <w:rPr>
          <w:rFonts w:ascii="宋体" w:eastAsia="宋体" w:hAnsi="宋体" w:hint="eastAsia"/>
          <w:szCs w:val="21"/>
        </w:rPr>
        <w:t>里</w:t>
      </w:r>
      <w:r>
        <w:rPr>
          <w:rFonts w:ascii="宋体" w:eastAsia="宋体" w:hAnsi="宋体" w:hint="eastAsia"/>
          <w:szCs w:val="21"/>
        </w:rPr>
        <w:t>2012</w:t>
      </w:r>
      <w:r>
        <w:rPr>
          <w:rFonts w:ascii="宋体" w:eastAsia="宋体" w:hAnsi="宋体" w:hint="eastAsia"/>
          <w:szCs w:val="21"/>
        </w:rPr>
        <w:t>年至</w:t>
      </w:r>
      <w:r>
        <w:rPr>
          <w:rFonts w:ascii="宋体" w:eastAsia="宋体" w:hAnsi="宋体" w:hint="eastAsia"/>
          <w:szCs w:val="21"/>
        </w:rPr>
        <w:t>2016</w:t>
      </w:r>
      <w:r>
        <w:rPr>
          <w:rFonts w:ascii="宋体" w:eastAsia="宋体" w:hAnsi="宋体" w:hint="eastAsia"/>
          <w:szCs w:val="21"/>
        </w:rPr>
        <w:t>年分红方案说明，可以选择近期某年的分红金额；</w:t>
      </w:r>
    </w:p>
    <w:p w14:paraId="32268B1E"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53A97CB8" wp14:editId="282271A4">
            <wp:extent cx="5274310" cy="299720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7"/>
                    <a:stretch>
                      <a:fillRect/>
                    </a:stretch>
                  </pic:blipFill>
                  <pic:spPr>
                    <a:xfrm>
                      <a:off x="0" y="0"/>
                      <a:ext cx="5274310" cy="2997200"/>
                    </a:xfrm>
                    <a:prstGeom prst="rect">
                      <a:avLst/>
                    </a:prstGeom>
                  </pic:spPr>
                </pic:pic>
              </a:graphicData>
            </a:graphic>
          </wp:inline>
        </w:drawing>
      </w:r>
    </w:p>
    <w:p w14:paraId="0BB3CF59"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股利折现率一栏，根据公司必要收益率一栏填列</w:t>
      </w:r>
    </w:p>
    <w:p w14:paraId="0C264DD2"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根据股利每期的现值</w:t>
      </w:r>
      <w:r>
        <w:rPr>
          <w:rFonts w:ascii="宋体" w:eastAsia="宋体" w:hAnsi="宋体" w:hint="eastAsia"/>
          <w:szCs w:val="21"/>
        </w:rPr>
        <w:t>计算“股票估值”结果，现值估值结果可以简化为</w:t>
      </w:r>
      <w:r>
        <w:rPr>
          <w:rFonts w:ascii="宋体" w:eastAsia="宋体" w:hAnsi="宋体" w:hint="eastAsia"/>
          <w:szCs w:val="21"/>
        </w:rPr>
        <w:t>=</w:t>
      </w:r>
      <w:r>
        <w:rPr>
          <w:rFonts w:ascii="宋体" w:eastAsia="宋体" w:hAnsi="宋体" w:hint="eastAsia"/>
          <w:szCs w:val="21"/>
        </w:rPr>
        <w:t>固定股利</w:t>
      </w:r>
      <w:r>
        <w:rPr>
          <w:rFonts w:ascii="宋体" w:eastAsia="宋体" w:hAnsi="宋体" w:hint="eastAsia"/>
          <w:szCs w:val="21"/>
        </w:rPr>
        <w:t>/</w:t>
      </w:r>
      <w:r>
        <w:rPr>
          <w:rFonts w:ascii="宋体" w:eastAsia="宋体" w:hAnsi="宋体" w:hint="eastAsia"/>
          <w:szCs w:val="21"/>
        </w:rPr>
        <w:t>股利折现率</w:t>
      </w:r>
    </w:p>
    <w:p w14:paraId="34842584"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根据折现率变化范围计算各情况的股票价值，观察折现率不同对股票估值的影响。</w:t>
      </w:r>
    </w:p>
    <w:p w14:paraId="4CA00395"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4C6E6F67" wp14:editId="43B49F8E">
            <wp:extent cx="5274310" cy="1179830"/>
            <wp:effectExtent l="0" t="0" r="254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8"/>
                    <a:stretch>
                      <a:fillRect/>
                    </a:stretch>
                  </pic:blipFill>
                  <pic:spPr>
                    <a:xfrm>
                      <a:off x="0" y="0"/>
                      <a:ext cx="5274310" cy="1179830"/>
                    </a:xfrm>
                    <a:prstGeom prst="rect">
                      <a:avLst/>
                    </a:prstGeom>
                  </pic:spPr>
                </pic:pic>
              </a:graphicData>
            </a:graphic>
          </wp:inline>
        </w:drawing>
      </w:r>
    </w:p>
    <w:p w14:paraId="31B641AC"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cs="Calibri" w:hint="eastAsia"/>
          <w:kern w:val="0"/>
          <w:szCs w:val="21"/>
        </w:rPr>
        <w:t>（</w:t>
      </w:r>
      <w:r>
        <w:rPr>
          <w:rFonts w:ascii="宋体" w:eastAsia="宋体" w:hAnsi="宋体" w:cs="Calibri" w:hint="eastAsia"/>
          <w:kern w:val="0"/>
          <w:szCs w:val="21"/>
        </w:rPr>
        <w:t>3</w:t>
      </w:r>
      <w:r>
        <w:rPr>
          <w:rFonts w:ascii="宋体" w:eastAsia="宋体" w:hAnsi="宋体" w:cs="Calibri" w:hint="eastAsia"/>
          <w:kern w:val="0"/>
          <w:szCs w:val="21"/>
        </w:rPr>
        <w:t>）股利固定增长情形股票估值</w:t>
      </w:r>
    </w:p>
    <w:p w14:paraId="38023575"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设定公司未来几年的股利增长率，可以使用行业平均增长率作为公司未来固定增长率；</w:t>
      </w:r>
    </w:p>
    <w:p w14:paraId="47C99867"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0359DBF6" wp14:editId="295829E3">
            <wp:extent cx="4229100" cy="5238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stretch>
                      <a:fillRect/>
                    </a:stretch>
                  </pic:blipFill>
                  <pic:spPr>
                    <a:xfrm>
                      <a:off x="0" y="0"/>
                      <a:ext cx="4229100" cy="523875"/>
                    </a:xfrm>
                    <a:prstGeom prst="rect">
                      <a:avLst/>
                    </a:prstGeom>
                  </pic:spPr>
                </pic:pic>
              </a:graphicData>
            </a:graphic>
          </wp:inline>
        </w:drawing>
      </w:r>
    </w:p>
    <w:p w14:paraId="1BE88B86"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设定股利折现率，可以使用公司必要收益率</w:t>
      </w:r>
    </w:p>
    <w:p w14:paraId="433D60EE"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364BA1D0" wp14:editId="0E8B72D2">
            <wp:extent cx="4219575" cy="4857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0"/>
                    <a:stretch>
                      <a:fillRect/>
                    </a:stretch>
                  </pic:blipFill>
                  <pic:spPr>
                    <a:xfrm>
                      <a:off x="0" y="0"/>
                      <a:ext cx="4219575" cy="485775"/>
                    </a:xfrm>
                    <a:prstGeom prst="rect">
                      <a:avLst/>
                    </a:prstGeom>
                  </pic:spPr>
                </pic:pic>
              </a:graphicData>
            </a:graphic>
          </wp:inline>
        </w:drawing>
      </w:r>
    </w:p>
    <w:p w14:paraId="24BC6EB8"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公司估值结果可以简化公式</w:t>
      </w:r>
      <w:r>
        <w:rPr>
          <w:rFonts w:ascii="宋体" w:eastAsia="宋体" w:hAnsi="宋体" w:hint="eastAsia"/>
          <w:szCs w:val="21"/>
        </w:rPr>
        <w:t>=</w:t>
      </w:r>
      <w:r>
        <w:rPr>
          <w:rFonts w:ascii="宋体" w:eastAsia="宋体" w:hAnsi="宋体" w:hint="eastAsia"/>
          <w:szCs w:val="21"/>
        </w:rPr>
        <w:t>第</w:t>
      </w:r>
      <w:r>
        <w:rPr>
          <w:rFonts w:ascii="宋体" w:eastAsia="宋体" w:hAnsi="宋体" w:hint="eastAsia"/>
          <w:szCs w:val="21"/>
        </w:rPr>
        <w:t>1</w:t>
      </w:r>
      <w:r>
        <w:rPr>
          <w:rFonts w:ascii="宋体" w:eastAsia="宋体" w:hAnsi="宋体" w:hint="eastAsia"/>
          <w:szCs w:val="21"/>
        </w:rPr>
        <w:t>年股利</w:t>
      </w:r>
      <w:r>
        <w:rPr>
          <w:rFonts w:ascii="宋体" w:eastAsia="宋体" w:hAnsi="宋体" w:hint="eastAsia"/>
          <w:szCs w:val="21"/>
        </w:rPr>
        <w:t>/</w:t>
      </w:r>
      <w:r>
        <w:rPr>
          <w:rFonts w:ascii="宋体" w:eastAsia="宋体" w:hAnsi="宋体" w:hint="eastAsia"/>
          <w:szCs w:val="21"/>
        </w:rPr>
        <w:t>（股利折现率</w:t>
      </w:r>
      <w:r>
        <w:rPr>
          <w:rFonts w:ascii="宋体" w:eastAsia="宋体" w:hAnsi="宋体" w:hint="eastAsia"/>
          <w:szCs w:val="21"/>
        </w:rPr>
        <w:t>-</w:t>
      </w:r>
      <w:r>
        <w:rPr>
          <w:rFonts w:ascii="宋体" w:eastAsia="宋体" w:hAnsi="宋体" w:hint="eastAsia"/>
          <w:szCs w:val="21"/>
        </w:rPr>
        <w:t>股利增长率）</w:t>
      </w:r>
    </w:p>
    <w:p w14:paraId="6BF03DAA"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16C095FE" wp14:editId="7546F17C">
            <wp:extent cx="4219575" cy="4857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1"/>
                    <a:stretch>
                      <a:fillRect/>
                    </a:stretch>
                  </pic:blipFill>
                  <pic:spPr>
                    <a:xfrm>
                      <a:off x="0" y="0"/>
                      <a:ext cx="4219575" cy="485775"/>
                    </a:xfrm>
                    <a:prstGeom prst="rect">
                      <a:avLst/>
                    </a:prstGeom>
                  </pic:spPr>
                </pic:pic>
              </a:graphicData>
            </a:graphic>
          </wp:inline>
        </w:drawing>
      </w:r>
    </w:p>
    <w:p w14:paraId="7A7AA521"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根据预估股利增长的范围设定不同增长率，观察对应股票估值，计算股利增长率变化对估值影响。</w:t>
      </w:r>
    </w:p>
    <w:p w14:paraId="4E1DE54A"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3DAB1570" wp14:editId="67623909">
            <wp:extent cx="5274310" cy="1233170"/>
            <wp:effectExtent l="0" t="0" r="254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2"/>
                    <a:stretch>
                      <a:fillRect/>
                    </a:stretch>
                  </pic:blipFill>
                  <pic:spPr>
                    <a:xfrm>
                      <a:off x="0" y="0"/>
                      <a:ext cx="5274310" cy="1233170"/>
                    </a:xfrm>
                    <a:prstGeom prst="rect">
                      <a:avLst/>
                    </a:prstGeom>
                  </pic:spPr>
                </pic:pic>
              </a:graphicData>
            </a:graphic>
          </wp:inline>
        </w:drawing>
      </w:r>
    </w:p>
    <w:p w14:paraId="6BF21CED" w14:textId="77777777" w:rsidR="00C577D9" w:rsidRDefault="00C52813">
      <w:pPr>
        <w:widowControl/>
        <w:snapToGrid w:val="0"/>
        <w:spacing w:line="360" w:lineRule="auto"/>
        <w:jc w:val="left"/>
        <w:rPr>
          <w:rFonts w:ascii="宋体" w:eastAsia="宋体" w:hAnsi="宋体"/>
          <w:szCs w:val="21"/>
        </w:rPr>
      </w:pPr>
      <w:r>
        <w:rPr>
          <w:rFonts w:ascii="宋体" w:eastAsia="宋体" w:hAnsi="宋体" w:cs="Calibri" w:hint="eastAsia"/>
          <w:kern w:val="0"/>
          <w:szCs w:val="21"/>
        </w:rPr>
        <w:t>（</w:t>
      </w:r>
      <w:r>
        <w:rPr>
          <w:rFonts w:ascii="宋体" w:eastAsia="宋体" w:hAnsi="宋体" w:cs="Calibri" w:hint="eastAsia"/>
          <w:kern w:val="0"/>
          <w:szCs w:val="21"/>
        </w:rPr>
        <w:t>4</w:t>
      </w:r>
      <w:r>
        <w:rPr>
          <w:rFonts w:ascii="宋体" w:eastAsia="宋体" w:hAnsi="宋体" w:cs="Calibri" w:hint="eastAsia"/>
          <w:kern w:val="0"/>
          <w:szCs w:val="21"/>
        </w:rPr>
        <w:t>）</w:t>
      </w:r>
      <w:r>
        <w:rPr>
          <w:rFonts w:ascii="宋体" w:eastAsia="宋体" w:hAnsi="宋体" w:hint="eastAsia"/>
          <w:szCs w:val="21"/>
        </w:rPr>
        <w:t>股利变动增长情形股票估值</w:t>
      </w:r>
    </w:p>
    <w:p w14:paraId="424C9028"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设定股利折现率，可以使用公司必要收益率；</w:t>
      </w:r>
    </w:p>
    <w:p w14:paraId="0E432347"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3E32F5D2" wp14:editId="440D542D">
            <wp:extent cx="4238625" cy="50482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3"/>
                    <a:stretch>
                      <a:fillRect/>
                    </a:stretch>
                  </pic:blipFill>
                  <pic:spPr>
                    <a:xfrm>
                      <a:off x="0" y="0"/>
                      <a:ext cx="4238625" cy="504825"/>
                    </a:xfrm>
                    <a:prstGeom prst="rect">
                      <a:avLst/>
                    </a:prstGeom>
                  </pic:spPr>
                </pic:pic>
              </a:graphicData>
            </a:graphic>
          </wp:inline>
        </w:drawing>
      </w:r>
    </w:p>
    <w:p w14:paraId="40AD1EFA"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设定公司未来几年的固定增长阶段股利增长率，可以使用行业平均增长率作为公司未来固定增长率；</w:t>
      </w:r>
    </w:p>
    <w:p w14:paraId="4C8A41E6"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cs="Calibri" w:hint="eastAsia"/>
          <w:kern w:val="0"/>
          <w:szCs w:val="21"/>
        </w:rPr>
        <w:t>计算前三年股利，并计算其现值</w:t>
      </w:r>
    </w:p>
    <w:p w14:paraId="6F0EEFAA"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noProof/>
          <w:szCs w:val="21"/>
        </w:rPr>
        <w:drawing>
          <wp:inline distT="0" distB="0" distL="0" distR="0" wp14:anchorId="4E6328D9" wp14:editId="4D22F941">
            <wp:extent cx="5274310" cy="132080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4"/>
                    <a:stretch>
                      <a:fillRect/>
                    </a:stretch>
                  </pic:blipFill>
                  <pic:spPr>
                    <a:xfrm>
                      <a:off x="0" y="0"/>
                      <a:ext cx="5274310" cy="1320800"/>
                    </a:xfrm>
                    <a:prstGeom prst="rect">
                      <a:avLst/>
                    </a:prstGeom>
                  </pic:spPr>
                </pic:pic>
              </a:graphicData>
            </a:graphic>
          </wp:inline>
        </w:drawing>
      </w:r>
    </w:p>
    <w:p w14:paraId="2B0D482B"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设定公司第</w:t>
      </w:r>
      <w:r>
        <w:rPr>
          <w:rFonts w:ascii="宋体" w:eastAsia="宋体" w:hAnsi="宋体" w:hint="eastAsia"/>
          <w:szCs w:val="21"/>
        </w:rPr>
        <w:t>4</w:t>
      </w:r>
      <w:r>
        <w:rPr>
          <w:rFonts w:ascii="宋体" w:eastAsia="宋体" w:hAnsi="宋体" w:hint="eastAsia"/>
          <w:szCs w:val="21"/>
        </w:rPr>
        <w:t>年的股票价格</w:t>
      </w:r>
    </w:p>
    <w:p w14:paraId="37965364"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noProof/>
          <w:szCs w:val="21"/>
        </w:rPr>
        <w:drawing>
          <wp:inline distT="0" distB="0" distL="0" distR="0" wp14:anchorId="51C10615" wp14:editId="75133ACD">
            <wp:extent cx="4238625" cy="48577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5"/>
                    <a:stretch>
                      <a:fillRect/>
                    </a:stretch>
                  </pic:blipFill>
                  <pic:spPr>
                    <a:xfrm>
                      <a:off x="0" y="0"/>
                      <a:ext cx="4238625" cy="485775"/>
                    </a:xfrm>
                    <a:prstGeom prst="rect">
                      <a:avLst/>
                    </a:prstGeom>
                  </pic:spPr>
                </pic:pic>
              </a:graphicData>
            </a:graphic>
          </wp:inline>
        </w:drawing>
      </w:r>
    </w:p>
    <w:p w14:paraId="1D09FEE5"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计算公司估值：前</w:t>
      </w:r>
      <w:r>
        <w:rPr>
          <w:rFonts w:ascii="宋体" w:eastAsia="宋体" w:hAnsi="宋体" w:hint="eastAsia"/>
          <w:szCs w:val="21"/>
        </w:rPr>
        <w:t>3</w:t>
      </w:r>
      <w:r>
        <w:rPr>
          <w:rFonts w:ascii="宋体" w:eastAsia="宋体" w:hAnsi="宋体" w:hint="eastAsia"/>
          <w:szCs w:val="21"/>
        </w:rPr>
        <w:t>年股利现值</w:t>
      </w:r>
      <w:r>
        <w:rPr>
          <w:rFonts w:ascii="宋体" w:eastAsia="宋体" w:hAnsi="宋体" w:hint="eastAsia"/>
          <w:szCs w:val="21"/>
        </w:rPr>
        <w:t>+</w:t>
      </w:r>
      <w:r>
        <w:rPr>
          <w:rFonts w:ascii="宋体" w:eastAsia="宋体" w:hAnsi="宋体" w:hint="eastAsia"/>
          <w:szCs w:val="21"/>
        </w:rPr>
        <w:t>第</w:t>
      </w:r>
      <w:r>
        <w:rPr>
          <w:rFonts w:ascii="宋体" w:eastAsia="宋体" w:hAnsi="宋体" w:hint="eastAsia"/>
          <w:szCs w:val="21"/>
        </w:rPr>
        <w:t>4</w:t>
      </w:r>
      <w:r>
        <w:rPr>
          <w:rFonts w:ascii="宋体" w:eastAsia="宋体" w:hAnsi="宋体" w:hint="eastAsia"/>
          <w:szCs w:val="21"/>
        </w:rPr>
        <w:t>年股价现值。</w:t>
      </w:r>
    </w:p>
    <w:p w14:paraId="23844952" w14:textId="77777777" w:rsidR="00C577D9" w:rsidRDefault="00C52813">
      <w:pPr>
        <w:widowControl/>
        <w:snapToGrid w:val="0"/>
        <w:spacing w:line="360" w:lineRule="auto"/>
        <w:rPr>
          <w:rFonts w:ascii="宋体" w:eastAsia="宋体" w:hAnsi="宋体" w:cs="Calibri"/>
          <w:kern w:val="0"/>
          <w:szCs w:val="21"/>
        </w:rPr>
      </w:pPr>
      <w:r>
        <w:rPr>
          <w:rFonts w:ascii="宋体" w:eastAsia="宋体" w:hAnsi="宋体"/>
          <w:noProof/>
          <w:szCs w:val="21"/>
        </w:rPr>
        <w:drawing>
          <wp:inline distT="0" distB="0" distL="0" distR="0" wp14:anchorId="7DC3CF3E" wp14:editId="5BF278A1">
            <wp:extent cx="4238625" cy="48577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6"/>
                    <a:stretch>
                      <a:fillRect/>
                    </a:stretch>
                  </pic:blipFill>
                  <pic:spPr>
                    <a:xfrm>
                      <a:off x="0" y="0"/>
                      <a:ext cx="4238625" cy="485775"/>
                    </a:xfrm>
                    <a:prstGeom prst="rect">
                      <a:avLst/>
                    </a:prstGeom>
                  </pic:spPr>
                </pic:pic>
              </a:graphicData>
            </a:graphic>
          </wp:inline>
        </w:drawing>
      </w:r>
    </w:p>
    <w:p w14:paraId="24FD961F" w14:textId="77777777" w:rsidR="00C577D9" w:rsidRDefault="00C52813">
      <w:pPr>
        <w:widowControl/>
        <w:snapToGrid w:val="0"/>
        <w:spacing w:line="360" w:lineRule="auto"/>
        <w:jc w:val="left"/>
        <w:rPr>
          <w:rFonts w:ascii="宋体" w:eastAsia="宋体" w:hAnsi="宋体"/>
          <w:szCs w:val="21"/>
        </w:rPr>
      </w:pPr>
      <w:r>
        <w:rPr>
          <w:rFonts w:ascii="宋体" w:eastAsia="宋体" w:hAnsi="宋体" w:cs="Calibri" w:hint="eastAsia"/>
          <w:kern w:val="0"/>
          <w:szCs w:val="21"/>
        </w:rPr>
        <w:t>（</w:t>
      </w:r>
      <w:r>
        <w:rPr>
          <w:rFonts w:ascii="宋体" w:eastAsia="宋体" w:hAnsi="宋体" w:cs="Calibri" w:hint="eastAsia"/>
          <w:kern w:val="0"/>
          <w:szCs w:val="21"/>
        </w:rPr>
        <w:t>5</w:t>
      </w:r>
      <w:r>
        <w:rPr>
          <w:rFonts w:ascii="宋体" w:eastAsia="宋体" w:hAnsi="宋体" w:cs="Calibri" w:hint="eastAsia"/>
          <w:kern w:val="0"/>
          <w:szCs w:val="21"/>
        </w:rPr>
        <w:t>）</w:t>
      </w:r>
      <w:r>
        <w:rPr>
          <w:rFonts w:ascii="宋体" w:eastAsia="宋体" w:hAnsi="宋体" w:hint="eastAsia"/>
          <w:szCs w:val="21"/>
        </w:rPr>
        <w:t>运用市盈率进行股票估值</w:t>
      </w:r>
    </w:p>
    <w:p w14:paraId="2F74FA1B"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根据同行业公司公开市场信息</w:t>
      </w:r>
      <w:r>
        <w:rPr>
          <w:rFonts w:ascii="宋体" w:eastAsia="宋体" w:hAnsi="宋体" w:hint="eastAsia"/>
          <w:szCs w:val="21"/>
        </w:rPr>
        <w:t>&lt;</w:t>
      </w:r>
      <w:r>
        <w:rPr>
          <w:rFonts w:ascii="宋体" w:eastAsia="宋体" w:hAnsi="宋体" w:hint="eastAsia"/>
          <w:szCs w:val="21"/>
        </w:rPr>
        <w:t>三安光电同行业信息调研</w:t>
      </w:r>
      <w:r>
        <w:rPr>
          <w:rFonts w:ascii="宋体" w:eastAsia="宋体" w:hAnsi="宋体" w:hint="eastAsia"/>
          <w:szCs w:val="21"/>
        </w:rPr>
        <w:t>&gt;</w:t>
      </w:r>
      <w:r>
        <w:rPr>
          <w:rFonts w:ascii="宋体" w:eastAsia="宋体" w:hAnsi="宋体" w:hint="eastAsia"/>
          <w:szCs w:val="21"/>
        </w:rPr>
        <w:t>表，计算同行业公司“市盈率”；</w:t>
      </w:r>
    </w:p>
    <w:p w14:paraId="35ABA54B"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lastRenderedPageBreak/>
        <w:drawing>
          <wp:inline distT="0" distB="0" distL="0" distR="0" wp14:anchorId="000AA31E" wp14:editId="33205538">
            <wp:extent cx="5274310" cy="4262120"/>
            <wp:effectExtent l="0" t="0" r="254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7"/>
                    <a:stretch>
                      <a:fillRect/>
                    </a:stretch>
                  </pic:blipFill>
                  <pic:spPr>
                    <a:xfrm>
                      <a:off x="0" y="0"/>
                      <a:ext cx="5274310" cy="4262120"/>
                    </a:xfrm>
                    <a:prstGeom prst="rect">
                      <a:avLst/>
                    </a:prstGeom>
                  </pic:spPr>
                </pic:pic>
              </a:graphicData>
            </a:graphic>
          </wp:inline>
        </w:drawing>
      </w:r>
    </w:p>
    <w:p w14:paraId="14F0ECAA"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剔除特殊市盈率的数值，计算同行业公司市盈率的算术平均值，作为行业“市盈率”，在报告期每股收益栏填写“报告期每股收益”；</w:t>
      </w:r>
    </w:p>
    <w:p w14:paraId="79B3F4FE"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7A721C55" wp14:editId="06B5F24D">
            <wp:extent cx="4238625" cy="84772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8"/>
                    <a:stretch>
                      <a:fillRect/>
                    </a:stretch>
                  </pic:blipFill>
                  <pic:spPr>
                    <a:xfrm>
                      <a:off x="0" y="0"/>
                      <a:ext cx="4238625" cy="847725"/>
                    </a:xfrm>
                    <a:prstGeom prst="rect">
                      <a:avLst/>
                    </a:prstGeom>
                  </pic:spPr>
                </pic:pic>
              </a:graphicData>
            </a:graphic>
          </wp:inline>
        </w:drawing>
      </w:r>
    </w:p>
    <w:p w14:paraId="07CAC02B"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运用行业市盈率估值价格公式进行每股收益计算：公司估值价格</w:t>
      </w:r>
      <w:r>
        <w:rPr>
          <w:rFonts w:ascii="宋体" w:eastAsia="宋体" w:hAnsi="宋体" w:hint="eastAsia"/>
          <w:szCs w:val="21"/>
        </w:rPr>
        <w:t>=</w:t>
      </w:r>
      <w:r>
        <w:rPr>
          <w:rFonts w:ascii="宋体" w:eastAsia="宋体" w:hAnsi="宋体" w:hint="eastAsia"/>
          <w:szCs w:val="21"/>
        </w:rPr>
        <w:t>行业市盈率</w:t>
      </w:r>
      <w:r>
        <w:rPr>
          <w:rFonts w:ascii="宋体" w:eastAsia="宋体" w:hAnsi="宋体" w:hint="eastAsia"/>
          <w:szCs w:val="21"/>
        </w:rPr>
        <w:t>*</w:t>
      </w:r>
      <w:r>
        <w:rPr>
          <w:rFonts w:ascii="宋体" w:eastAsia="宋体" w:hAnsi="宋体" w:hint="eastAsia"/>
          <w:szCs w:val="21"/>
        </w:rPr>
        <w:t>每股收益；</w:t>
      </w:r>
    </w:p>
    <w:p w14:paraId="083AE9E5"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0D1D2C8C" wp14:editId="3342AFA8">
            <wp:extent cx="4191000" cy="476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9"/>
                    <a:stretch>
                      <a:fillRect/>
                    </a:stretch>
                  </pic:blipFill>
                  <pic:spPr>
                    <a:xfrm>
                      <a:off x="0" y="0"/>
                      <a:ext cx="4191000" cy="476250"/>
                    </a:xfrm>
                    <a:prstGeom prst="rect">
                      <a:avLst/>
                    </a:prstGeom>
                  </pic:spPr>
                </pic:pic>
              </a:graphicData>
            </a:graphic>
          </wp:inline>
        </w:drawing>
      </w:r>
    </w:p>
    <w:p w14:paraId="572BB97A" w14:textId="77777777" w:rsidR="00C577D9" w:rsidRDefault="00C52813">
      <w:pPr>
        <w:widowControl/>
        <w:snapToGrid w:val="0"/>
        <w:spacing w:line="360" w:lineRule="auto"/>
        <w:jc w:val="left"/>
        <w:rPr>
          <w:rFonts w:ascii="宋体" w:eastAsia="宋体" w:hAnsi="宋体"/>
          <w:szCs w:val="21"/>
        </w:rPr>
      </w:pPr>
      <w:r>
        <w:rPr>
          <w:rFonts w:ascii="宋体" w:eastAsia="宋体" w:hAnsi="宋体" w:hint="eastAsia"/>
          <w:szCs w:val="21"/>
        </w:rPr>
        <w:t>与股票实际价格进行对比；</w:t>
      </w:r>
    </w:p>
    <w:p w14:paraId="43775B81"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noProof/>
          <w:szCs w:val="21"/>
        </w:rPr>
        <w:drawing>
          <wp:inline distT="0" distB="0" distL="0" distR="0" wp14:anchorId="20598DBC" wp14:editId="269F26A3">
            <wp:extent cx="4276725" cy="180022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0"/>
                    <a:stretch>
                      <a:fillRect/>
                    </a:stretch>
                  </pic:blipFill>
                  <pic:spPr>
                    <a:xfrm>
                      <a:off x="0" y="0"/>
                      <a:ext cx="4276725" cy="1800225"/>
                    </a:xfrm>
                    <a:prstGeom prst="rect">
                      <a:avLst/>
                    </a:prstGeom>
                  </pic:spPr>
                </pic:pic>
              </a:graphicData>
            </a:graphic>
          </wp:inline>
        </w:drawing>
      </w:r>
    </w:p>
    <w:p w14:paraId="54FE4A11" w14:textId="77777777" w:rsidR="00C577D9" w:rsidRDefault="00C52813">
      <w:pPr>
        <w:widowControl/>
        <w:snapToGrid w:val="0"/>
        <w:spacing w:line="360" w:lineRule="auto"/>
        <w:jc w:val="left"/>
        <w:rPr>
          <w:rFonts w:ascii="宋体" w:eastAsia="宋体" w:hAnsi="宋体" w:cs="Calibri"/>
          <w:kern w:val="0"/>
          <w:szCs w:val="21"/>
        </w:rPr>
      </w:pPr>
      <w:r>
        <w:rPr>
          <w:rFonts w:ascii="宋体" w:eastAsia="宋体" w:hAnsi="宋体" w:hint="eastAsia"/>
          <w:szCs w:val="21"/>
        </w:rPr>
        <w:lastRenderedPageBreak/>
        <w:t>结合市盈率分析结果对公司股票实际价格的差异进行简要分析</w:t>
      </w:r>
    </w:p>
    <w:p w14:paraId="3A6C3EB9" w14:textId="77777777" w:rsidR="00C577D9" w:rsidRDefault="00C52813">
      <w:pPr>
        <w:widowControl/>
        <w:snapToGrid w:val="0"/>
        <w:spacing w:before="156" w:after="156"/>
        <w:ind w:left="285" w:hanging="285"/>
        <w:rPr>
          <w:rFonts w:ascii="Calibri" w:eastAsia="宋体" w:hAnsi="Calibri" w:cs="Calibri"/>
          <w:kern w:val="0"/>
          <w:szCs w:val="21"/>
        </w:rPr>
      </w:pPr>
      <w:r>
        <w:rPr>
          <w:rFonts w:ascii="宋体" w:eastAsia="宋体" w:hAnsi="宋体" w:cs="Calibri" w:hint="eastAsia"/>
          <w:b/>
          <w:bCs/>
          <w:kern w:val="0"/>
          <w:szCs w:val="21"/>
        </w:rPr>
        <w:t>5</w:t>
      </w:r>
      <w:r>
        <w:rPr>
          <w:rFonts w:ascii="宋体" w:eastAsia="宋体" w:hAnsi="宋体" w:cs="Calibri" w:hint="eastAsia"/>
          <w:b/>
          <w:bCs/>
          <w:kern w:val="0"/>
          <w:szCs w:val="21"/>
        </w:rPr>
        <w:t>、完成投资决策实验报告</w:t>
      </w:r>
    </w:p>
    <w:p w14:paraId="65AF2329" w14:textId="77777777" w:rsidR="00C577D9" w:rsidRDefault="00C52813">
      <w:pPr>
        <w:widowControl/>
        <w:snapToGrid w:val="0"/>
        <w:spacing w:before="156" w:after="156"/>
        <w:rPr>
          <w:rFonts w:ascii="Calibri" w:eastAsia="宋体" w:hAnsi="Calibri" w:cs="Calibri"/>
          <w:kern w:val="0"/>
          <w:szCs w:val="21"/>
        </w:rPr>
      </w:pPr>
      <w:r>
        <w:rPr>
          <w:rFonts w:ascii="宋体" w:eastAsia="宋体" w:hAnsi="宋体" w:cs="Calibri" w:hint="eastAsia"/>
          <w:kern w:val="0"/>
          <w:szCs w:val="21"/>
        </w:rPr>
        <w:t>操作步骤：填制报告投资决策实验报告→</w:t>
      </w:r>
      <w:r>
        <w:rPr>
          <w:rFonts w:ascii="宋体" w:eastAsia="宋体" w:hAnsi="宋体" w:cs="Calibri" w:hint="eastAsia"/>
          <w:kern w:val="0"/>
          <w:szCs w:val="21"/>
        </w:rPr>
        <w:t xml:space="preserve"> </w:t>
      </w:r>
      <w:r>
        <w:rPr>
          <w:rFonts w:ascii="宋体" w:eastAsia="宋体" w:hAnsi="宋体" w:cs="Calibri" w:hint="eastAsia"/>
          <w:kern w:val="0"/>
          <w:szCs w:val="21"/>
        </w:rPr>
        <w:t>完成报告</w:t>
      </w:r>
      <w:r>
        <w:rPr>
          <w:rFonts w:ascii="宋体" w:eastAsia="宋体" w:hAnsi="宋体" w:cs="Calibri" w:hint="eastAsia"/>
          <w:kern w:val="0"/>
          <w:szCs w:val="21"/>
        </w:rPr>
        <w:t xml:space="preserve"> </w:t>
      </w:r>
      <w:r>
        <w:rPr>
          <w:rFonts w:ascii="宋体" w:eastAsia="宋体" w:hAnsi="宋体" w:cs="Calibri" w:hint="eastAsia"/>
          <w:kern w:val="0"/>
          <w:szCs w:val="21"/>
        </w:rPr>
        <w:t>→【保存报告】→【提交报告】；提交后可获取得分以及分析参考。</w:t>
      </w:r>
    </w:p>
    <w:p w14:paraId="0AE4C193" w14:textId="77777777" w:rsidR="00C577D9" w:rsidRDefault="00C52813">
      <w:pPr>
        <w:widowControl/>
        <w:snapToGrid w:val="0"/>
        <w:spacing w:line="360" w:lineRule="auto"/>
        <w:rPr>
          <w:rFonts w:ascii="宋体" w:eastAsia="宋体" w:hAnsi="宋体" w:cs="Calibri"/>
          <w:b/>
          <w:bCs/>
          <w:kern w:val="0"/>
          <w:szCs w:val="21"/>
        </w:rPr>
      </w:pPr>
      <w:r>
        <w:rPr>
          <w:noProof/>
        </w:rPr>
        <w:drawing>
          <wp:inline distT="0" distB="0" distL="0" distR="0" wp14:anchorId="4299FDAD" wp14:editId="28A5B41C">
            <wp:extent cx="5274310" cy="33839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1"/>
                    <a:stretch>
                      <a:fillRect/>
                    </a:stretch>
                  </pic:blipFill>
                  <pic:spPr>
                    <a:xfrm>
                      <a:off x="0" y="0"/>
                      <a:ext cx="5274310" cy="3383915"/>
                    </a:xfrm>
                    <a:prstGeom prst="rect">
                      <a:avLst/>
                    </a:prstGeom>
                  </pic:spPr>
                </pic:pic>
              </a:graphicData>
            </a:graphic>
          </wp:inline>
        </w:drawing>
      </w:r>
    </w:p>
    <w:p w14:paraId="04E2EA8A" w14:textId="77777777" w:rsidR="00C577D9" w:rsidRDefault="00C577D9">
      <w:pPr>
        <w:widowControl/>
        <w:snapToGrid w:val="0"/>
        <w:spacing w:line="360" w:lineRule="auto"/>
        <w:rPr>
          <w:rFonts w:ascii="宋体" w:eastAsia="宋体" w:hAnsi="宋体" w:cs="Calibri"/>
          <w:b/>
          <w:bCs/>
          <w:kern w:val="0"/>
          <w:szCs w:val="21"/>
        </w:rPr>
      </w:pPr>
    </w:p>
    <w:p w14:paraId="104C6436" w14:textId="77777777" w:rsidR="00C577D9" w:rsidRDefault="00C577D9">
      <w:pPr>
        <w:widowControl/>
        <w:snapToGrid w:val="0"/>
        <w:spacing w:line="360" w:lineRule="auto"/>
        <w:rPr>
          <w:rFonts w:ascii="宋体" w:eastAsia="宋体" w:hAnsi="宋体" w:cs="Calibri"/>
          <w:b/>
          <w:bCs/>
          <w:kern w:val="0"/>
          <w:szCs w:val="21"/>
        </w:rPr>
      </w:pPr>
    </w:p>
    <w:p w14:paraId="5DAD284F" w14:textId="77777777" w:rsidR="00C577D9" w:rsidRDefault="00C577D9">
      <w:pPr>
        <w:widowControl/>
        <w:snapToGrid w:val="0"/>
        <w:spacing w:line="360" w:lineRule="auto"/>
        <w:rPr>
          <w:rFonts w:ascii="宋体" w:eastAsia="宋体" w:hAnsi="宋体" w:cs="Calibri"/>
          <w:b/>
          <w:bCs/>
          <w:kern w:val="0"/>
          <w:szCs w:val="21"/>
        </w:rPr>
      </w:pPr>
    </w:p>
    <w:p w14:paraId="56F03D7C" w14:textId="77777777" w:rsidR="00C577D9" w:rsidRDefault="00C577D9">
      <w:pPr>
        <w:widowControl/>
        <w:snapToGrid w:val="0"/>
        <w:spacing w:line="360" w:lineRule="auto"/>
        <w:rPr>
          <w:rFonts w:ascii="宋体" w:eastAsia="宋体" w:hAnsi="宋体" w:cs="Calibri"/>
          <w:b/>
          <w:bCs/>
          <w:kern w:val="0"/>
          <w:szCs w:val="21"/>
        </w:rPr>
      </w:pPr>
    </w:p>
    <w:p w14:paraId="59738F45" w14:textId="77777777" w:rsidR="00C577D9" w:rsidRDefault="00C577D9">
      <w:pPr>
        <w:widowControl/>
        <w:snapToGrid w:val="0"/>
        <w:spacing w:line="360" w:lineRule="auto"/>
        <w:rPr>
          <w:rFonts w:ascii="宋体" w:eastAsia="宋体" w:hAnsi="宋体" w:cs="Calibri"/>
          <w:b/>
          <w:bCs/>
          <w:kern w:val="0"/>
          <w:szCs w:val="21"/>
        </w:rPr>
      </w:pPr>
    </w:p>
    <w:p w14:paraId="414C2002" w14:textId="77777777" w:rsidR="00C577D9" w:rsidRDefault="00C577D9">
      <w:pPr>
        <w:widowControl/>
        <w:snapToGrid w:val="0"/>
        <w:spacing w:line="360" w:lineRule="auto"/>
        <w:rPr>
          <w:rFonts w:ascii="宋体" w:eastAsia="宋体" w:hAnsi="宋体" w:cs="Calibri"/>
          <w:b/>
          <w:bCs/>
          <w:kern w:val="0"/>
          <w:szCs w:val="21"/>
        </w:rPr>
      </w:pPr>
    </w:p>
    <w:p w14:paraId="2074D3AE" w14:textId="77777777" w:rsidR="00C577D9" w:rsidRDefault="00C577D9">
      <w:pPr>
        <w:widowControl/>
        <w:snapToGrid w:val="0"/>
        <w:spacing w:line="360" w:lineRule="auto"/>
        <w:rPr>
          <w:rFonts w:ascii="宋体" w:eastAsia="宋体" w:hAnsi="宋体" w:cs="Calibri"/>
          <w:b/>
          <w:bCs/>
          <w:kern w:val="0"/>
          <w:szCs w:val="21"/>
        </w:rPr>
      </w:pPr>
    </w:p>
    <w:p w14:paraId="3CE983B7" w14:textId="77777777" w:rsidR="00C577D9" w:rsidRDefault="00C577D9">
      <w:pPr>
        <w:widowControl/>
        <w:snapToGrid w:val="0"/>
        <w:spacing w:line="360" w:lineRule="auto"/>
        <w:rPr>
          <w:rFonts w:ascii="宋体" w:eastAsia="宋体" w:hAnsi="宋体" w:cs="Calibri"/>
          <w:b/>
          <w:bCs/>
          <w:kern w:val="0"/>
          <w:szCs w:val="21"/>
        </w:rPr>
      </w:pPr>
    </w:p>
    <w:p w14:paraId="656EE496" w14:textId="77777777" w:rsidR="00C577D9" w:rsidRDefault="00C577D9">
      <w:pPr>
        <w:widowControl/>
        <w:snapToGrid w:val="0"/>
        <w:spacing w:line="360" w:lineRule="auto"/>
        <w:rPr>
          <w:rFonts w:ascii="宋体" w:eastAsia="宋体" w:hAnsi="宋体" w:cs="Calibri"/>
          <w:b/>
          <w:bCs/>
          <w:kern w:val="0"/>
          <w:szCs w:val="21"/>
        </w:rPr>
      </w:pPr>
    </w:p>
    <w:p w14:paraId="6A4437EA" w14:textId="77777777" w:rsidR="00C577D9" w:rsidRDefault="00C577D9">
      <w:pPr>
        <w:widowControl/>
        <w:snapToGrid w:val="0"/>
        <w:spacing w:line="360" w:lineRule="auto"/>
        <w:rPr>
          <w:rFonts w:ascii="宋体" w:eastAsia="宋体" w:hAnsi="宋体" w:cs="Calibri"/>
          <w:b/>
          <w:bCs/>
          <w:kern w:val="0"/>
          <w:szCs w:val="21"/>
        </w:rPr>
      </w:pPr>
    </w:p>
    <w:p w14:paraId="5621FBA6" w14:textId="77777777" w:rsidR="00C577D9" w:rsidRDefault="00C577D9">
      <w:pPr>
        <w:widowControl/>
        <w:snapToGrid w:val="0"/>
        <w:spacing w:line="360" w:lineRule="auto"/>
        <w:rPr>
          <w:rFonts w:ascii="宋体" w:eastAsia="宋体" w:hAnsi="宋体" w:cs="Calibri"/>
          <w:b/>
          <w:bCs/>
          <w:kern w:val="0"/>
          <w:szCs w:val="21"/>
        </w:rPr>
      </w:pPr>
    </w:p>
    <w:p w14:paraId="70C001DE" w14:textId="77777777" w:rsidR="00C577D9" w:rsidRDefault="00C577D9">
      <w:pPr>
        <w:widowControl/>
        <w:snapToGrid w:val="0"/>
        <w:spacing w:line="360" w:lineRule="auto"/>
        <w:rPr>
          <w:rFonts w:ascii="宋体" w:eastAsia="宋体" w:hAnsi="宋体" w:cs="Calibri"/>
          <w:b/>
          <w:bCs/>
          <w:kern w:val="0"/>
          <w:szCs w:val="21"/>
        </w:rPr>
      </w:pPr>
    </w:p>
    <w:p w14:paraId="11149770" w14:textId="77777777" w:rsidR="00C577D9" w:rsidRDefault="00C577D9">
      <w:pPr>
        <w:widowControl/>
        <w:snapToGrid w:val="0"/>
        <w:spacing w:line="360" w:lineRule="auto"/>
        <w:rPr>
          <w:rFonts w:ascii="宋体" w:eastAsia="宋体" w:hAnsi="宋体" w:cs="Calibri"/>
          <w:b/>
          <w:bCs/>
          <w:kern w:val="0"/>
          <w:szCs w:val="21"/>
        </w:rPr>
      </w:pPr>
    </w:p>
    <w:p w14:paraId="5E026BD8" w14:textId="77777777" w:rsidR="00C577D9" w:rsidRDefault="00C577D9">
      <w:pPr>
        <w:widowControl/>
        <w:snapToGrid w:val="0"/>
        <w:spacing w:line="360" w:lineRule="auto"/>
        <w:rPr>
          <w:rFonts w:ascii="宋体" w:eastAsia="宋体" w:hAnsi="宋体" w:cs="Calibri"/>
          <w:b/>
          <w:bCs/>
          <w:kern w:val="0"/>
          <w:szCs w:val="21"/>
        </w:rPr>
      </w:pPr>
    </w:p>
    <w:p w14:paraId="1DF0143D" w14:textId="77777777" w:rsidR="00C577D9" w:rsidRDefault="00C577D9">
      <w:pPr>
        <w:widowControl/>
        <w:snapToGrid w:val="0"/>
        <w:spacing w:line="360" w:lineRule="auto"/>
        <w:rPr>
          <w:rFonts w:ascii="宋体" w:eastAsia="宋体" w:hAnsi="宋体" w:cs="Calibri"/>
          <w:b/>
          <w:bCs/>
          <w:kern w:val="0"/>
          <w:szCs w:val="21"/>
        </w:rPr>
      </w:pPr>
    </w:p>
    <w:p w14:paraId="1E4528AD" w14:textId="77777777" w:rsidR="00C577D9" w:rsidRDefault="00C577D9">
      <w:pPr>
        <w:widowControl/>
        <w:snapToGrid w:val="0"/>
        <w:spacing w:line="360" w:lineRule="auto"/>
        <w:rPr>
          <w:rFonts w:ascii="宋体" w:eastAsia="宋体" w:hAnsi="宋体" w:cs="Calibri"/>
          <w:b/>
          <w:bCs/>
          <w:kern w:val="0"/>
          <w:szCs w:val="21"/>
        </w:rPr>
      </w:pPr>
    </w:p>
    <w:p w14:paraId="5E363762" w14:textId="77777777" w:rsidR="00C577D9" w:rsidRDefault="00C52813">
      <w:pPr>
        <w:widowControl/>
        <w:snapToGrid w:val="0"/>
        <w:spacing w:line="360" w:lineRule="auto"/>
        <w:rPr>
          <w:rFonts w:ascii="宋体" w:eastAsia="宋体" w:hAnsi="宋体" w:cs="Calibri"/>
          <w:b/>
          <w:bCs/>
          <w:kern w:val="0"/>
          <w:szCs w:val="21"/>
        </w:rPr>
      </w:pPr>
      <w:r>
        <w:rPr>
          <w:rFonts w:ascii="黑体" w:eastAsia="黑体" w:hAnsi="黑体" w:hint="eastAsia"/>
          <w:sz w:val="28"/>
          <w:szCs w:val="32"/>
        </w:rPr>
        <w:lastRenderedPageBreak/>
        <w:t>三、进行融资决策实验操作</w:t>
      </w:r>
    </w:p>
    <w:p w14:paraId="60F78FD4"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cs="Calibri"/>
          <w:b/>
          <w:bCs/>
          <w:kern w:val="0"/>
          <w:szCs w:val="21"/>
        </w:rPr>
        <w:t>1</w:t>
      </w:r>
      <w:r>
        <w:rPr>
          <w:rFonts w:ascii="宋体" w:eastAsia="宋体" w:hAnsi="宋体" w:cs="Calibri" w:hint="eastAsia"/>
          <w:b/>
          <w:bCs/>
          <w:kern w:val="0"/>
          <w:szCs w:val="21"/>
        </w:rPr>
        <w:t>、融资决策资金需求量实验</w:t>
      </w:r>
    </w:p>
    <w:p w14:paraId="1455A111"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kern w:val="0"/>
          <w:szCs w:val="21"/>
        </w:rPr>
        <w:t>（</w:t>
      </w:r>
      <w:r>
        <w:rPr>
          <w:rFonts w:ascii="宋体" w:eastAsia="宋体" w:hAnsi="宋体" w:cs="Calibri" w:hint="eastAsia"/>
          <w:kern w:val="0"/>
          <w:szCs w:val="21"/>
        </w:rPr>
        <w:t>1</w:t>
      </w:r>
      <w:r>
        <w:rPr>
          <w:rFonts w:ascii="宋体" w:eastAsia="宋体" w:hAnsi="宋体" w:cs="Calibri" w:hint="eastAsia"/>
          <w:kern w:val="0"/>
          <w:szCs w:val="21"/>
        </w:rPr>
        <w:t>）</w:t>
      </w:r>
      <w:r>
        <w:rPr>
          <w:rFonts w:ascii="宋体" w:eastAsia="宋体" w:hAnsi="宋体" w:hint="eastAsia"/>
          <w:szCs w:val="21"/>
        </w:rPr>
        <w:t>利用资本资产定价模型计算权益资金成本</w:t>
      </w:r>
    </w:p>
    <w:p w14:paraId="3410D5FA" w14:textId="77777777" w:rsidR="00C577D9" w:rsidRDefault="00C52813">
      <w:pPr>
        <w:pStyle w:val="a7"/>
        <w:snapToGrid w:val="0"/>
        <w:spacing w:line="360" w:lineRule="auto"/>
        <w:ind w:firstLine="0"/>
        <w:rPr>
          <w:rFonts w:ascii="宋体" w:hAnsi="宋体"/>
        </w:rPr>
      </w:pPr>
      <w:r>
        <w:rPr>
          <w:rFonts w:ascii="宋体" w:hAnsi="宋体" w:hint="eastAsia"/>
        </w:rPr>
        <w:t>根据</w:t>
      </w:r>
      <w:r>
        <w:rPr>
          <w:rFonts w:ascii="宋体" w:hAnsi="宋体" w:hint="eastAsia"/>
        </w:rPr>
        <w:t>&lt;</w:t>
      </w:r>
      <w:r>
        <w:rPr>
          <w:rFonts w:ascii="宋体" w:hAnsi="宋体" w:hint="eastAsia"/>
        </w:rPr>
        <w:t>公司对标上市公司信息简介</w:t>
      </w:r>
      <w:r>
        <w:rPr>
          <w:rFonts w:ascii="宋体" w:hAnsi="宋体" w:hint="eastAsia"/>
        </w:rPr>
        <w:t>&gt;</w:t>
      </w:r>
      <w:r>
        <w:rPr>
          <w:rFonts w:ascii="宋体" w:hAnsi="宋体" w:hint="eastAsia"/>
        </w:rPr>
        <w:t>及</w:t>
      </w:r>
      <w:r>
        <w:rPr>
          <w:rFonts w:ascii="宋体" w:hAnsi="宋体" w:hint="eastAsia"/>
        </w:rPr>
        <w:t>&lt;2016</w:t>
      </w:r>
      <w:r>
        <w:rPr>
          <w:rFonts w:ascii="宋体" w:hAnsi="宋体" w:hint="eastAsia"/>
        </w:rPr>
        <w:t>年深科技与上证指数月</w:t>
      </w:r>
      <w:r>
        <w:rPr>
          <w:rFonts w:ascii="宋体" w:hAnsi="宋体" w:hint="eastAsia"/>
        </w:rPr>
        <w:t>K</w:t>
      </w:r>
      <w:r>
        <w:rPr>
          <w:rFonts w:ascii="宋体" w:hAnsi="宋体" w:hint="eastAsia"/>
        </w:rPr>
        <w:t>线数据统计</w:t>
      </w:r>
      <w:r>
        <w:rPr>
          <w:rFonts w:ascii="宋体" w:hAnsi="宋体" w:hint="eastAsia"/>
        </w:rPr>
        <w:t>&gt;</w:t>
      </w:r>
      <w:r>
        <w:rPr>
          <w:rFonts w:ascii="宋体" w:hAnsi="宋体" w:hint="eastAsia"/>
        </w:rPr>
        <w:t>提供信息，了解公司股票收益率及上证指数收益率情况，并填写至相关指标处。</w:t>
      </w:r>
    </w:p>
    <w:p w14:paraId="04EDB8A2"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77FB5CFA" wp14:editId="012AD59D">
            <wp:extent cx="5274310" cy="478917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2"/>
                    <a:stretch>
                      <a:fillRect/>
                    </a:stretch>
                  </pic:blipFill>
                  <pic:spPr>
                    <a:xfrm>
                      <a:off x="0" y="0"/>
                      <a:ext cx="5274310" cy="4789170"/>
                    </a:xfrm>
                    <a:prstGeom prst="rect">
                      <a:avLst/>
                    </a:prstGeom>
                  </pic:spPr>
                </pic:pic>
              </a:graphicData>
            </a:graphic>
          </wp:inline>
        </w:drawing>
      </w:r>
    </w:p>
    <w:p w14:paraId="2ED0C60A" w14:textId="77777777" w:rsidR="00C577D9" w:rsidRDefault="00C52813">
      <w:pPr>
        <w:pStyle w:val="a7"/>
        <w:snapToGrid w:val="0"/>
        <w:spacing w:line="360" w:lineRule="auto"/>
        <w:ind w:firstLine="0"/>
        <w:rPr>
          <w:rFonts w:ascii="宋体" w:hAnsi="宋体"/>
        </w:rPr>
      </w:pPr>
      <w:r>
        <w:rPr>
          <w:rFonts w:ascii="宋体" w:hAnsi="宋体" w:hint="eastAsia"/>
        </w:rPr>
        <w:t>根据公式：收益率的离差</w:t>
      </w:r>
      <w:r>
        <w:rPr>
          <w:rFonts w:ascii="宋体" w:hAnsi="宋体" w:hint="eastAsia"/>
        </w:rPr>
        <w:t xml:space="preserve"> = </w:t>
      </w:r>
      <w:r>
        <w:rPr>
          <w:rFonts w:ascii="宋体" w:hAnsi="宋体" w:hint="eastAsia"/>
        </w:rPr>
        <w:t>某观测点的收益率—各观测点收益率的平均值，计算公司股票的离差和上证指数的离差，及两个离差的乘积。</w:t>
      </w:r>
    </w:p>
    <w:p w14:paraId="1A4A4766"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6351A600" wp14:editId="4E5A3028">
            <wp:extent cx="4953000" cy="244792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3"/>
                    <a:stretch>
                      <a:fillRect/>
                    </a:stretch>
                  </pic:blipFill>
                  <pic:spPr>
                    <a:xfrm>
                      <a:off x="0" y="0"/>
                      <a:ext cx="4953000" cy="2447925"/>
                    </a:xfrm>
                    <a:prstGeom prst="rect">
                      <a:avLst/>
                    </a:prstGeom>
                  </pic:spPr>
                </pic:pic>
              </a:graphicData>
            </a:graphic>
          </wp:inline>
        </w:drawing>
      </w:r>
    </w:p>
    <w:p w14:paraId="2EA1DEC2" w14:textId="77777777" w:rsidR="00C577D9" w:rsidRDefault="00C52813">
      <w:pPr>
        <w:pStyle w:val="a7"/>
        <w:snapToGrid w:val="0"/>
        <w:spacing w:line="360" w:lineRule="auto"/>
        <w:ind w:firstLine="0"/>
        <w:rPr>
          <w:rFonts w:ascii="宋体" w:hAnsi="宋体"/>
        </w:rPr>
      </w:pPr>
      <w:r>
        <w:rPr>
          <w:rFonts w:ascii="宋体" w:hAnsi="宋体" w:hint="eastAsia"/>
        </w:rPr>
        <w:t>根据公式：公司股票与上证指数的协方差</w:t>
      </w:r>
      <w:r>
        <w:rPr>
          <w:rFonts w:ascii="宋体" w:hAnsi="宋体" w:hint="eastAsia"/>
        </w:rPr>
        <w:t xml:space="preserve"> = </w:t>
      </w:r>
      <w:r>
        <w:rPr>
          <w:rFonts w:ascii="宋体" w:hAnsi="宋体" w:hint="eastAsia"/>
        </w:rPr>
        <w:t>各观测点的离差乘积的平均值，计算协方差。</w:t>
      </w:r>
    </w:p>
    <w:p w14:paraId="12EB95FD" w14:textId="77777777" w:rsidR="00C577D9" w:rsidRDefault="00C52813">
      <w:pPr>
        <w:pStyle w:val="a7"/>
        <w:snapToGrid w:val="0"/>
        <w:spacing w:line="360" w:lineRule="auto"/>
        <w:ind w:firstLine="0"/>
        <w:rPr>
          <w:rFonts w:ascii="宋体" w:hAnsi="宋体"/>
        </w:rPr>
      </w:pPr>
      <w:r>
        <w:rPr>
          <w:rFonts w:ascii="宋体" w:hAnsi="宋体" w:hint="eastAsia"/>
        </w:rPr>
        <w:t>使用函数：</w:t>
      </w:r>
      <w:r>
        <w:rPr>
          <w:rFonts w:ascii="宋体" w:hAnsi="宋体" w:hint="eastAsia"/>
        </w:rPr>
        <w:t>VARP</w:t>
      </w:r>
      <w:r>
        <w:rPr>
          <w:rFonts w:ascii="宋体" w:hAnsi="宋体" w:hint="eastAsia"/>
        </w:rPr>
        <w:t>或者方差计算公式，计算上证指</w:t>
      </w:r>
      <w:r>
        <w:rPr>
          <w:rFonts w:ascii="宋体" w:hAnsi="宋体" w:hint="eastAsia"/>
        </w:rPr>
        <w:t>数的方差。</w:t>
      </w:r>
    </w:p>
    <w:p w14:paraId="72E5D8C2" w14:textId="77777777" w:rsidR="00C577D9" w:rsidRDefault="00C52813">
      <w:pPr>
        <w:pStyle w:val="a7"/>
        <w:snapToGrid w:val="0"/>
        <w:spacing w:line="360" w:lineRule="auto"/>
        <w:ind w:firstLine="0"/>
        <w:rPr>
          <w:rFonts w:ascii="宋体" w:hAnsi="宋体"/>
        </w:rPr>
      </w:pPr>
      <w:r>
        <w:rPr>
          <w:rFonts w:ascii="宋体" w:hAnsi="宋体" w:hint="eastAsia"/>
        </w:rPr>
        <w:t>根据公式：公司股票的贝塔系数</w:t>
      </w:r>
      <w:r>
        <w:rPr>
          <w:rFonts w:ascii="宋体" w:hAnsi="宋体" w:hint="eastAsia"/>
        </w:rPr>
        <w:t xml:space="preserve"> = </w:t>
      </w:r>
      <w:r>
        <w:rPr>
          <w:rFonts w:ascii="宋体" w:hAnsi="宋体" w:hint="eastAsia"/>
        </w:rPr>
        <w:t>公司股票与上证指数的协方差</w:t>
      </w:r>
      <w:r>
        <w:rPr>
          <w:rFonts w:ascii="宋体" w:hAnsi="宋体" w:hint="eastAsia"/>
        </w:rPr>
        <w:t xml:space="preserve"> / </w:t>
      </w:r>
      <w:r>
        <w:rPr>
          <w:rFonts w:ascii="宋体" w:hAnsi="宋体" w:hint="eastAsia"/>
        </w:rPr>
        <w:t>上证指数的方差。</w:t>
      </w:r>
    </w:p>
    <w:p w14:paraId="76B9801C"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74F651E2" wp14:editId="28B045C3">
            <wp:extent cx="4705350" cy="11525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4"/>
                    <a:stretch>
                      <a:fillRect/>
                    </a:stretch>
                  </pic:blipFill>
                  <pic:spPr>
                    <a:xfrm>
                      <a:off x="0" y="0"/>
                      <a:ext cx="4705350" cy="1152525"/>
                    </a:xfrm>
                    <a:prstGeom prst="rect">
                      <a:avLst/>
                    </a:prstGeom>
                  </pic:spPr>
                </pic:pic>
              </a:graphicData>
            </a:graphic>
          </wp:inline>
        </w:drawing>
      </w:r>
    </w:p>
    <w:p w14:paraId="4574B945" w14:textId="77777777" w:rsidR="00C577D9" w:rsidRDefault="00C52813">
      <w:pPr>
        <w:pStyle w:val="a7"/>
        <w:snapToGrid w:val="0"/>
        <w:spacing w:line="360" w:lineRule="auto"/>
        <w:ind w:firstLine="0"/>
        <w:rPr>
          <w:rFonts w:ascii="宋体" w:hAnsi="宋体"/>
        </w:rPr>
      </w:pPr>
      <w:r>
        <w:rPr>
          <w:rFonts w:ascii="宋体" w:hAnsi="宋体" w:hint="eastAsia"/>
        </w:rPr>
        <w:t>根据</w:t>
      </w:r>
      <w:r>
        <w:rPr>
          <w:rFonts w:ascii="宋体" w:hAnsi="宋体" w:hint="eastAsia"/>
        </w:rPr>
        <w:t>&lt;</w:t>
      </w:r>
      <w:r>
        <w:rPr>
          <w:rFonts w:ascii="宋体" w:hAnsi="宋体" w:hint="eastAsia"/>
        </w:rPr>
        <w:t>上海证券交易所管理</w:t>
      </w:r>
      <w:r>
        <w:rPr>
          <w:rFonts w:ascii="宋体" w:hAnsi="宋体" w:hint="eastAsia"/>
        </w:rPr>
        <w:t>2016</w:t>
      </w:r>
      <w:r>
        <w:rPr>
          <w:rFonts w:ascii="宋体" w:hAnsi="宋体" w:hint="eastAsia"/>
        </w:rPr>
        <w:t>年记账式附息（二十六期）国债上市交易的通知</w:t>
      </w:r>
      <w:r>
        <w:rPr>
          <w:rFonts w:ascii="宋体" w:hAnsi="宋体" w:hint="eastAsia"/>
        </w:rPr>
        <w:t>&gt;</w:t>
      </w:r>
      <w:r>
        <w:rPr>
          <w:rFonts w:ascii="宋体" w:hAnsi="宋体" w:hint="eastAsia"/>
        </w:rPr>
        <w:t>提供的利率信息，填写“无风险收益率”指标。</w:t>
      </w:r>
    </w:p>
    <w:p w14:paraId="29F452BA"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0D710AA8" wp14:editId="44B28714">
            <wp:extent cx="5274310" cy="339979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5"/>
                    <a:stretch>
                      <a:fillRect/>
                    </a:stretch>
                  </pic:blipFill>
                  <pic:spPr>
                    <a:xfrm>
                      <a:off x="0" y="0"/>
                      <a:ext cx="5274310" cy="3399790"/>
                    </a:xfrm>
                    <a:prstGeom prst="rect">
                      <a:avLst/>
                    </a:prstGeom>
                  </pic:spPr>
                </pic:pic>
              </a:graphicData>
            </a:graphic>
          </wp:inline>
        </w:drawing>
      </w:r>
    </w:p>
    <w:p w14:paraId="1D166810" w14:textId="77777777" w:rsidR="00C577D9" w:rsidRDefault="00C52813">
      <w:pPr>
        <w:pStyle w:val="a7"/>
        <w:snapToGrid w:val="0"/>
        <w:spacing w:line="360" w:lineRule="auto"/>
        <w:ind w:firstLine="0"/>
        <w:rPr>
          <w:rFonts w:ascii="宋体" w:hAnsi="宋体"/>
        </w:rPr>
      </w:pPr>
      <w:r>
        <w:rPr>
          <w:rFonts w:ascii="宋体" w:hAnsi="宋体" w:hint="eastAsia"/>
        </w:rPr>
        <w:lastRenderedPageBreak/>
        <w:t>根据</w:t>
      </w:r>
      <w:r>
        <w:rPr>
          <w:rFonts w:ascii="宋体" w:hAnsi="宋体" w:hint="eastAsia"/>
        </w:rPr>
        <w:t>&lt;</w:t>
      </w:r>
      <w:r>
        <w:rPr>
          <w:rFonts w:ascii="宋体" w:hAnsi="宋体" w:hint="eastAsia"/>
        </w:rPr>
        <w:t>上证综指年化收益率统计</w:t>
      </w:r>
      <w:r>
        <w:rPr>
          <w:rFonts w:ascii="宋体" w:hAnsi="宋体" w:hint="eastAsia"/>
        </w:rPr>
        <w:t>&gt;</w:t>
      </w:r>
      <w:r>
        <w:rPr>
          <w:rFonts w:ascii="宋体" w:hAnsi="宋体" w:hint="eastAsia"/>
        </w:rPr>
        <w:t>提供的信息计算上证指数平均收益率，按照复利的计算公式：</w:t>
      </w:r>
      <w:r>
        <w:rPr>
          <w:rFonts w:ascii="宋体" w:hAnsi="宋体" w:hint="eastAsia"/>
        </w:rPr>
        <w:t>[</w:t>
      </w:r>
      <w:r>
        <w:rPr>
          <w:rFonts w:ascii="宋体" w:hAnsi="宋体" w:hint="eastAsia"/>
        </w:rPr>
        <w:t>（第</w:t>
      </w:r>
      <w:r>
        <w:rPr>
          <w:rFonts w:ascii="宋体" w:hAnsi="宋体" w:hint="eastAsia"/>
        </w:rPr>
        <w:t>N+i</w:t>
      </w:r>
      <w:r>
        <w:rPr>
          <w:rFonts w:ascii="宋体" w:hAnsi="宋体" w:hint="eastAsia"/>
        </w:rPr>
        <w:t>期指数值</w:t>
      </w:r>
      <w:r>
        <w:rPr>
          <w:rFonts w:ascii="宋体" w:hAnsi="宋体" w:hint="eastAsia"/>
        </w:rPr>
        <w:t>/</w:t>
      </w:r>
      <w:r>
        <w:rPr>
          <w:rFonts w:ascii="宋体" w:hAnsi="宋体" w:hint="eastAsia"/>
        </w:rPr>
        <w:t>第</w:t>
      </w:r>
      <w:r>
        <w:rPr>
          <w:rFonts w:ascii="宋体" w:hAnsi="宋体" w:hint="eastAsia"/>
        </w:rPr>
        <w:t>i</w:t>
      </w:r>
      <w:r>
        <w:rPr>
          <w:rFonts w:ascii="宋体" w:hAnsi="宋体" w:hint="eastAsia"/>
        </w:rPr>
        <w:t>期指数值）</w:t>
      </w:r>
      <w:r>
        <w:rPr>
          <w:rFonts w:ascii="宋体" w:hAnsi="宋体" w:hint="eastAsia"/>
        </w:rPr>
        <w:t>^</w:t>
      </w:r>
      <w:r>
        <w:rPr>
          <w:rFonts w:ascii="宋体" w:hAnsi="宋体" w:hint="eastAsia"/>
        </w:rPr>
        <w:t>（</w:t>
      </w:r>
      <w:r>
        <w:rPr>
          <w:rFonts w:ascii="宋体" w:hAnsi="宋体" w:hint="eastAsia"/>
        </w:rPr>
        <w:t>1/N</w:t>
      </w:r>
      <w:r>
        <w:rPr>
          <w:rFonts w:ascii="宋体" w:hAnsi="宋体" w:hint="eastAsia"/>
        </w:rPr>
        <w:t>）</w:t>
      </w:r>
      <w:r>
        <w:rPr>
          <w:rFonts w:ascii="宋体" w:hAnsi="宋体" w:hint="eastAsia"/>
        </w:rPr>
        <w:t>-1]*100%</w:t>
      </w:r>
      <w:r>
        <w:rPr>
          <w:rFonts w:ascii="宋体" w:hAnsi="宋体" w:hint="eastAsia"/>
        </w:rPr>
        <w:t>计算。</w:t>
      </w:r>
    </w:p>
    <w:p w14:paraId="7FA2F404"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0FF4DF03" wp14:editId="401C3A46">
            <wp:extent cx="5274310" cy="373507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6"/>
                    <a:stretch>
                      <a:fillRect/>
                    </a:stretch>
                  </pic:blipFill>
                  <pic:spPr>
                    <a:xfrm>
                      <a:off x="0" y="0"/>
                      <a:ext cx="5274310" cy="3735070"/>
                    </a:xfrm>
                    <a:prstGeom prst="rect">
                      <a:avLst/>
                    </a:prstGeom>
                  </pic:spPr>
                </pic:pic>
              </a:graphicData>
            </a:graphic>
          </wp:inline>
        </w:drawing>
      </w:r>
    </w:p>
    <w:p w14:paraId="2978453A" w14:textId="77777777" w:rsidR="00C577D9" w:rsidRDefault="00C52813">
      <w:pPr>
        <w:pStyle w:val="a7"/>
        <w:snapToGrid w:val="0"/>
        <w:spacing w:line="360" w:lineRule="auto"/>
        <w:ind w:firstLine="0"/>
        <w:rPr>
          <w:rFonts w:ascii="宋体" w:hAnsi="宋体"/>
        </w:rPr>
      </w:pPr>
      <w:r>
        <w:rPr>
          <w:rFonts w:ascii="宋体" w:hAnsi="宋体" w:hint="eastAsia"/>
        </w:rPr>
        <w:t>按照资本资产定价模型方法计算公司股票的期望收益率，根据公式计算：</w:t>
      </w:r>
      <w:r>
        <w:rPr>
          <w:rFonts w:ascii="宋体" w:hAnsi="宋体" w:hint="eastAsia"/>
        </w:rPr>
        <w:t>Ks=Rf+</w:t>
      </w:r>
      <w:r>
        <w:rPr>
          <w:rFonts w:ascii="宋体" w:hAnsi="宋体" w:hint="eastAsia"/>
        </w:rPr>
        <w:t>β（</w:t>
      </w:r>
      <w:r>
        <w:rPr>
          <w:rFonts w:ascii="宋体" w:hAnsi="宋体" w:hint="eastAsia"/>
        </w:rPr>
        <w:t>Rm-Rf</w:t>
      </w:r>
      <w:r>
        <w:rPr>
          <w:rFonts w:ascii="宋体" w:hAnsi="宋体" w:hint="eastAsia"/>
        </w:rPr>
        <w:t>）。</w:t>
      </w:r>
    </w:p>
    <w:p w14:paraId="06047AA5"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15F47483" wp14:editId="5E267A56">
            <wp:extent cx="4648200" cy="4572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7"/>
                    <a:stretch>
                      <a:fillRect/>
                    </a:stretch>
                  </pic:blipFill>
                  <pic:spPr>
                    <a:xfrm>
                      <a:off x="0" y="0"/>
                      <a:ext cx="4648200" cy="457200"/>
                    </a:xfrm>
                    <a:prstGeom prst="rect">
                      <a:avLst/>
                    </a:prstGeom>
                  </pic:spPr>
                </pic:pic>
              </a:graphicData>
            </a:graphic>
          </wp:inline>
        </w:drawing>
      </w:r>
    </w:p>
    <w:p w14:paraId="74E1C4BC"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kern w:val="0"/>
          <w:szCs w:val="21"/>
        </w:rPr>
        <w:t>（</w:t>
      </w:r>
      <w:r>
        <w:rPr>
          <w:rFonts w:ascii="宋体" w:eastAsia="宋体" w:hAnsi="宋体" w:cs="Calibri" w:hint="eastAsia"/>
          <w:kern w:val="0"/>
          <w:szCs w:val="21"/>
        </w:rPr>
        <w:t>2</w:t>
      </w:r>
      <w:r>
        <w:rPr>
          <w:rFonts w:ascii="宋体" w:eastAsia="宋体" w:hAnsi="宋体" w:cs="Calibri" w:hint="eastAsia"/>
          <w:kern w:val="0"/>
          <w:szCs w:val="21"/>
        </w:rPr>
        <w:t>）</w:t>
      </w:r>
      <w:r>
        <w:rPr>
          <w:rFonts w:ascii="宋体" w:eastAsia="宋体" w:hAnsi="宋体" w:hint="eastAsia"/>
          <w:szCs w:val="21"/>
        </w:rPr>
        <w:t>利用股利折现模型计算权益资金成本</w:t>
      </w:r>
    </w:p>
    <w:p w14:paraId="1445545D"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w:t>
      </w:r>
      <w:r>
        <w:rPr>
          <w:rFonts w:ascii="宋体" w:eastAsia="宋体" w:hAnsi="宋体" w:cs="宋体" w:hint="eastAsia"/>
          <w:szCs w:val="21"/>
        </w:rPr>
        <w:t>深科技年度分红政策统计表</w:t>
      </w:r>
      <w:r>
        <w:rPr>
          <w:rFonts w:ascii="宋体" w:eastAsia="宋体" w:hAnsi="宋体" w:cs="宋体" w:hint="eastAsia"/>
          <w:szCs w:val="21"/>
        </w:rPr>
        <w:t>&gt;</w:t>
      </w:r>
      <w:r>
        <w:rPr>
          <w:rFonts w:ascii="宋体" w:eastAsia="宋体" w:hAnsi="宋体" w:cs="宋体" w:hint="eastAsia"/>
          <w:szCs w:val="21"/>
        </w:rPr>
        <w:t>的信息，了解近几年公司分红情况，并将每年的每股股利填制相应指标。</w:t>
      </w:r>
    </w:p>
    <w:p w14:paraId="42C23533"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053030A7" wp14:editId="24C7305D">
            <wp:extent cx="5274310" cy="4246245"/>
            <wp:effectExtent l="0" t="0" r="2540" b="190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8"/>
                    <a:stretch>
                      <a:fillRect/>
                    </a:stretch>
                  </pic:blipFill>
                  <pic:spPr>
                    <a:xfrm>
                      <a:off x="0" y="0"/>
                      <a:ext cx="5274310" cy="4246245"/>
                    </a:xfrm>
                    <a:prstGeom prst="rect">
                      <a:avLst/>
                    </a:prstGeom>
                  </pic:spPr>
                </pic:pic>
              </a:graphicData>
            </a:graphic>
          </wp:inline>
        </w:drawing>
      </w:r>
    </w:p>
    <w:p w14:paraId="2F7FAEF5" w14:textId="77777777" w:rsidR="00C577D9" w:rsidRDefault="00C52813">
      <w:pPr>
        <w:pStyle w:val="a7"/>
        <w:snapToGrid w:val="0"/>
        <w:spacing w:line="360" w:lineRule="auto"/>
        <w:ind w:firstLine="0"/>
        <w:rPr>
          <w:rFonts w:ascii="宋体" w:hAnsi="宋体"/>
        </w:rPr>
      </w:pPr>
      <w:r>
        <w:rPr>
          <w:rFonts w:ascii="宋体" w:hAnsi="宋体" w:hint="eastAsia"/>
        </w:rPr>
        <w:t>计算每年股利增长率，并计算增长率的平均值，如果该指标绝对值大于</w:t>
      </w:r>
      <w:r>
        <w:rPr>
          <w:rFonts w:ascii="宋体" w:hAnsi="宋体" w:hint="eastAsia"/>
        </w:rPr>
        <w:t>10%</w:t>
      </w:r>
      <w:r>
        <w:rPr>
          <w:rFonts w:ascii="宋体" w:hAnsi="宋体" w:hint="eastAsia"/>
        </w:rPr>
        <w:t>，说明公司近年在股利分配上不稳健，按</w:t>
      </w:r>
      <w:r>
        <w:rPr>
          <w:rFonts w:ascii="宋体" w:hAnsi="宋体" w:hint="eastAsia"/>
        </w:rPr>
        <w:t>10%</w:t>
      </w:r>
      <w:r>
        <w:rPr>
          <w:rFonts w:ascii="宋体" w:hAnsi="宋体" w:hint="eastAsia"/>
        </w:rPr>
        <w:t>进行修正。</w:t>
      </w:r>
    </w:p>
    <w:p w14:paraId="5067C724"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08973462" wp14:editId="2BC149DA">
            <wp:extent cx="5274310" cy="607695"/>
            <wp:effectExtent l="0" t="0" r="254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9"/>
                    <a:stretch>
                      <a:fillRect/>
                    </a:stretch>
                  </pic:blipFill>
                  <pic:spPr>
                    <a:xfrm>
                      <a:off x="0" y="0"/>
                      <a:ext cx="5274310" cy="607695"/>
                    </a:xfrm>
                    <a:prstGeom prst="rect">
                      <a:avLst/>
                    </a:prstGeom>
                  </pic:spPr>
                </pic:pic>
              </a:graphicData>
            </a:graphic>
          </wp:inline>
        </w:drawing>
      </w:r>
    </w:p>
    <w:p w14:paraId="384F9DA0"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根据</w:t>
      </w:r>
      <w:r>
        <w:rPr>
          <w:rFonts w:ascii="宋体" w:eastAsia="宋体" w:hAnsi="宋体" w:hint="eastAsia"/>
          <w:szCs w:val="21"/>
        </w:rPr>
        <w:t>&lt;</w:t>
      </w:r>
      <w:r>
        <w:rPr>
          <w:rFonts w:ascii="宋体" w:eastAsia="宋体" w:hAnsi="宋体" w:hint="eastAsia"/>
          <w:szCs w:val="21"/>
        </w:rPr>
        <w:t>深科技</w:t>
      </w:r>
      <w:r>
        <w:rPr>
          <w:rFonts w:ascii="宋体" w:eastAsia="宋体" w:hAnsi="宋体" w:hint="eastAsia"/>
          <w:szCs w:val="21"/>
        </w:rPr>
        <w:t>2016</w:t>
      </w:r>
      <w:r>
        <w:rPr>
          <w:rFonts w:ascii="宋体" w:eastAsia="宋体" w:hAnsi="宋体" w:hint="eastAsia"/>
          <w:szCs w:val="21"/>
        </w:rPr>
        <w:t>年</w:t>
      </w:r>
      <w:r>
        <w:rPr>
          <w:rFonts w:ascii="宋体" w:eastAsia="宋体" w:hAnsi="宋体" w:hint="eastAsia"/>
          <w:szCs w:val="21"/>
        </w:rPr>
        <w:t>12-30</w:t>
      </w:r>
      <w:r>
        <w:rPr>
          <w:rFonts w:ascii="宋体" w:eastAsia="宋体" w:hAnsi="宋体" w:hint="eastAsia"/>
          <w:szCs w:val="21"/>
        </w:rPr>
        <w:t>日股价分时图</w:t>
      </w:r>
      <w:r>
        <w:rPr>
          <w:rFonts w:ascii="宋体" w:eastAsia="宋体" w:hAnsi="宋体" w:hint="eastAsia"/>
          <w:szCs w:val="21"/>
        </w:rPr>
        <w:t>&gt;</w:t>
      </w:r>
      <w:r>
        <w:rPr>
          <w:rFonts w:ascii="宋体" w:eastAsia="宋体" w:hAnsi="宋体" w:hint="eastAsia"/>
          <w:szCs w:val="21"/>
        </w:rPr>
        <w:t>的信息查看</w:t>
      </w:r>
      <w:r>
        <w:rPr>
          <w:rFonts w:ascii="宋体" w:eastAsia="宋体" w:hAnsi="宋体" w:hint="eastAsia"/>
          <w:szCs w:val="21"/>
        </w:rPr>
        <w:t>2016</w:t>
      </w:r>
      <w:r>
        <w:rPr>
          <w:rFonts w:ascii="宋体" w:eastAsia="宋体" w:hAnsi="宋体" w:hint="eastAsia"/>
          <w:szCs w:val="21"/>
        </w:rPr>
        <w:t>年底的股价。</w:t>
      </w:r>
    </w:p>
    <w:p w14:paraId="615ECC07"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313AF727" wp14:editId="3E286D88">
            <wp:extent cx="5274310" cy="3960495"/>
            <wp:effectExtent l="0" t="0" r="2540"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0"/>
                    <a:stretch>
                      <a:fillRect/>
                    </a:stretch>
                  </pic:blipFill>
                  <pic:spPr>
                    <a:xfrm>
                      <a:off x="0" y="0"/>
                      <a:ext cx="5274310" cy="3960495"/>
                    </a:xfrm>
                    <a:prstGeom prst="rect">
                      <a:avLst/>
                    </a:prstGeom>
                  </pic:spPr>
                </pic:pic>
              </a:graphicData>
            </a:graphic>
          </wp:inline>
        </w:drawing>
      </w:r>
    </w:p>
    <w:p w14:paraId="0CC61EA2" w14:textId="77777777" w:rsidR="00C577D9" w:rsidRDefault="00C52813">
      <w:pPr>
        <w:pStyle w:val="a7"/>
        <w:snapToGrid w:val="0"/>
        <w:spacing w:line="360" w:lineRule="auto"/>
        <w:ind w:firstLine="0"/>
        <w:rPr>
          <w:rFonts w:ascii="宋体" w:hAnsi="宋体"/>
        </w:rPr>
      </w:pPr>
      <w:r>
        <w:rPr>
          <w:rFonts w:ascii="宋体" w:hAnsi="宋体" w:hint="eastAsia"/>
        </w:rPr>
        <w:t>根据公式：</w:t>
      </w:r>
      <w:r>
        <w:rPr>
          <w:rFonts w:ascii="宋体" w:hAnsi="宋体" w:hint="eastAsia"/>
        </w:rPr>
        <w:t>K =D/P+g</w:t>
      </w:r>
      <w:r>
        <w:rPr>
          <w:rFonts w:ascii="宋体" w:hAnsi="宋体" w:hint="eastAsia"/>
        </w:rPr>
        <w:t>，计算权益资金成本，这里应该注意的是，如果报告期股利政策尚未公布，报告期股利按照上一期股利×（</w:t>
      </w:r>
      <w:r>
        <w:rPr>
          <w:rFonts w:ascii="宋体" w:hAnsi="宋体" w:hint="eastAsia"/>
        </w:rPr>
        <w:t xml:space="preserve">1 + </w:t>
      </w:r>
      <w:r>
        <w:rPr>
          <w:rFonts w:ascii="宋体" w:hAnsi="宋体" w:hint="eastAsia"/>
        </w:rPr>
        <w:t>股利年均增长率）计算。</w:t>
      </w:r>
    </w:p>
    <w:p w14:paraId="2791EA85"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2FFED67F" wp14:editId="5E7782AD">
            <wp:extent cx="4686300" cy="9144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1"/>
                    <a:stretch>
                      <a:fillRect/>
                    </a:stretch>
                  </pic:blipFill>
                  <pic:spPr>
                    <a:xfrm>
                      <a:off x="0" y="0"/>
                      <a:ext cx="4686300" cy="914400"/>
                    </a:xfrm>
                    <a:prstGeom prst="rect">
                      <a:avLst/>
                    </a:prstGeom>
                  </pic:spPr>
                </pic:pic>
              </a:graphicData>
            </a:graphic>
          </wp:inline>
        </w:drawing>
      </w:r>
    </w:p>
    <w:p w14:paraId="23DEB69A"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kern w:val="0"/>
          <w:szCs w:val="21"/>
        </w:rPr>
        <w:t>（</w:t>
      </w:r>
      <w:r>
        <w:rPr>
          <w:rFonts w:ascii="宋体" w:eastAsia="宋体" w:hAnsi="宋体" w:cs="Calibri" w:hint="eastAsia"/>
          <w:kern w:val="0"/>
          <w:szCs w:val="21"/>
        </w:rPr>
        <w:t>3</w:t>
      </w:r>
      <w:r>
        <w:rPr>
          <w:rFonts w:ascii="宋体" w:eastAsia="宋体" w:hAnsi="宋体" w:cs="Calibri" w:hint="eastAsia"/>
          <w:kern w:val="0"/>
          <w:szCs w:val="21"/>
        </w:rPr>
        <w:t>）</w:t>
      </w:r>
      <w:r>
        <w:rPr>
          <w:rFonts w:ascii="宋体" w:eastAsia="宋体" w:hAnsi="宋体" w:hint="eastAsia"/>
          <w:szCs w:val="21"/>
        </w:rPr>
        <w:t>计算公司债务资金成本</w:t>
      </w:r>
    </w:p>
    <w:p w14:paraId="320FF3F5" w14:textId="77777777" w:rsidR="00C577D9" w:rsidRDefault="00C52813">
      <w:pPr>
        <w:pStyle w:val="a7"/>
        <w:snapToGrid w:val="0"/>
        <w:spacing w:line="360" w:lineRule="auto"/>
        <w:ind w:firstLine="0"/>
        <w:rPr>
          <w:rFonts w:ascii="宋体" w:hAnsi="宋体"/>
        </w:rPr>
      </w:pPr>
      <w:r>
        <w:rPr>
          <w:rFonts w:ascii="宋体" w:hAnsi="宋体" w:hint="eastAsia"/>
        </w:rPr>
        <w:t>工具提供的计算债务资金成本方法有三种：如果公司发行了公司债券，则根据公司长期债券的成本计算；如果公司没发行公司债券，则根</w:t>
      </w:r>
      <w:r>
        <w:rPr>
          <w:rFonts w:ascii="宋体" w:hAnsi="宋体" w:hint="eastAsia"/>
        </w:rPr>
        <w:t>据可比公司长期债券计算；如果前二者的信息都无法获取，则直接利用债务资金成本计算通用公式计算。</w:t>
      </w:r>
    </w:p>
    <w:p w14:paraId="290ED8D2"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29DD1E0F" wp14:editId="22D6FEEA">
            <wp:extent cx="5274310" cy="99187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2"/>
                    <a:stretch>
                      <a:fillRect/>
                    </a:stretch>
                  </pic:blipFill>
                  <pic:spPr>
                    <a:xfrm>
                      <a:off x="0" y="0"/>
                      <a:ext cx="5274310" cy="991870"/>
                    </a:xfrm>
                    <a:prstGeom prst="rect">
                      <a:avLst/>
                    </a:prstGeom>
                  </pic:spPr>
                </pic:pic>
              </a:graphicData>
            </a:graphic>
          </wp:inline>
        </w:drawing>
      </w:r>
    </w:p>
    <w:p w14:paraId="39A0A976"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w:t>
      </w:r>
      <w:r>
        <w:rPr>
          <w:rFonts w:ascii="宋体" w:eastAsia="宋体" w:hAnsi="宋体" w:cs="宋体" w:hint="eastAsia"/>
          <w:szCs w:val="21"/>
        </w:rPr>
        <w:t>参考公司债券发行信息</w:t>
      </w:r>
      <w:r>
        <w:rPr>
          <w:rFonts w:ascii="宋体" w:eastAsia="宋体" w:hAnsi="宋体" w:cs="宋体" w:hint="eastAsia"/>
          <w:szCs w:val="21"/>
        </w:rPr>
        <w:t>&gt;</w:t>
      </w:r>
      <w:r>
        <w:rPr>
          <w:rFonts w:ascii="宋体" w:eastAsia="宋体" w:hAnsi="宋体" w:cs="宋体" w:hint="eastAsia"/>
          <w:szCs w:val="21"/>
        </w:rPr>
        <w:t>了解可比长期债券的利率情况，计算“税前债务资金成本”，作为公司税前债务资本成本的依据。</w:t>
      </w:r>
    </w:p>
    <w:p w14:paraId="6391DE0B"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2CFE2C34" wp14:editId="2DF28E86">
            <wp:extent cx="5274310" cy="4509135"/>
            <wp:effectExtent l="0" t="0" r="254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3"/>
                    <a:stretch>
                      <a:fillRect/>
                    </a:stretch>
                  </pic:blipFill>
                  <pic:spPr>
                    <a:xfrm>
                      <a:off x="0" y="0"/>
                      <a:ext cx="5274310" cy="4509135"/>
                    </a:xfrm>
                    <a:prstGeom prst="rect">
                      <a:avLst/>
                    </a:prstGeom>
                  </pic:spPr>
                </pic:pic>
              </a:graphicData>
            </a:graphic>
          </wp:inline>
        </w:drawing>
      </w:r>
    </w:p>
    <w:p w14:paraId="6E004574" w14:textId="77777777" w:rsidR="00C577D9" w:rsidRDefault="00C52813">
      <w:pPr>
        <w:pStyle w:val="a7"/>
        <w:snapToGrid w:val="0"/>
        <w:spacing w:line="360" w:lineRule="auto"/>
        <w:ind w:firstLine="0"/>
        <w:rPr>
          <w:rFonts w:ascii="宋体" w:hAnsi="宋体"/>
        </w:rPr>
      </w:pPr>
      <w:r>
        <w:rPr>
          <w:rFonts w:ascii="宋体" w:hAnsi="宋体" w:hint="eastAsia"/>
        </w:rPr>
        <w:t>根据公式：税后债务资本成本</w:t>
      </w:r>
      <w:r>
        <w:rPr>
          <w:rFonts w:ascii="宋体" w:hAnsi="宋体" w:hint="eastAsia"/>
        </w:rPr>
        <w:t xml:space="preserve"> = </w:t>
      </w:r>
      <w:r>
        <w:rPr>
          <w:rFonts w:ascii="宋体" w:hAnsi="宋体" w:hint="eastAsia"/>
        </w:rPr>
        <w:t>税前债务资本成本×</w:t>
      </w:r>
      <w:r>
        <w:rPr>
          <w:rFonts w:ascii="宋体" w:hAnsi="宋体" w:hint="eastAsia"/>
        </w:rPr>
        <w:t>(1</w:t>
      </w:r>
      <w:r>
        <w:rPr>
          <w:rFonts w:ascii="宋体" w:hAnsi="宋体" w:hint="eastAsia"/>
        </w:rPr>
        <w:t>—所得税税率</w:t>
      </w:r>
      <w:r>
        <w:rPr>
          <w:rFonts w:ascii="宋体" w:hAnsi="宋体" w:hint="eastAsia"/>
        </w:rPr>
        <w:t>)</w:t>
      </w:r>
      <w:r>
        <w:rPr>
          <w:rFonts w:ascii="宋体" w:hAnsi="宋体" w:hint="eastAsia"/>
        </w:rPr>
        <w:t>，计算“债务资本成本”。</w:t>
      </w:r>
    </w:p>
    <w:p w14:paraId="1B755DD7"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4D527708" wp14:editId="6FAD4B44">
            <wp:extent cx="4714875" cy="1000125"/>
            <wp:effectExtent l="0" t="0" r="952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4"/>
                    <a:stretch>
                      <a:fillRect/>
                    </a:stretch>
                  </pic:blipFill>
                  <pic:spPr>
                    <a:xfrm>
                      <a:off x="0" y="0"/>
                      <a:ext cx="4714875" cy="1000125"/>
                    </a:xfrm>
                    <a:prstGeom prst="rect">
                      <a:avLst/>
                    </a:prstGeom>
                  </pic:spPr>
                </pic:pic>
              </a:graphicData>
            </a:graphic>
          </wp:inline>
        </w:drawing>
      </w:r>
    </w:p>
    <w:p w14:paraId="009DCDC3"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w:t>
      </w:r>
      <w:r>
        <w:rPr>
          <w:rFonts w:ascii="宋体" w:eastAsia="宋体" w:hAnsi="宋体" w:hint="eastAsia"/>
          <w:szCs w:val="21"/>
        </w:rPr>
        <w:t>4</w:t>
      </w:r>
      <w:r>
        <w:rPr>
          <w:rFonts w:ascii="宋体" w:eastAsia="宋体" w:hAnsi="宋体" w:hint="eastAsia"/>
          <w:szCs w:val="21"/>
        </w:rPr>
        <w:t>）计算公司综合资本成本</w:t>
      </w:r>
    </w:p>
    <w:p w14:paraId="40EB5E59"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&lt;2016</w:t>
      </w:r>
      <w:r>
        <w:rPr>
          <w:rFonts w:ascii="宋体" w:eastAsia="宋体" w:hAnsi="宋体" w:cs="宋体" w:hint="eastAsia"/>
          <w:szCs w:val="21"/>
        </w:rPr>
        <w:t>年长城实业资本结构</w:t>
      </w:r>
      <w:r>
        <w:rPr>
          <w:rFonts w:ascii="宋体" w:eastAsia="宋体" w:hAnsi="宋体" w:cs="宋体" w:hint="eastAsia"/>
          <w:szCs w:val="21"/>
        </w:rPr>
        <w:t>&gt;</w:t>
      </w:r>
      <w:r>
        <w:rPr>
          <w:rFonts w:ascii="宋体" w:eastAsia="宋体" w:hAnsi="宋体" w:cs="宋体" w:hint="eastAsia"/>
          <w:szCs w:val="21"/>
        </w:rPr>
        <w:t>提供信息，了解权益和负债占总资产比重情况。</w:t>
      </w:r>
    </w:p>
    <w:p w14:paraId="208F5221"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662D55FA" wp14:editId="744855C6">
            <wp:extent cx="5057775" cy="360997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5"/>
                    <a:stretch>
                      <a:fillRect/>
                    </a:stretch>
                  </pic:blipFill>
                  <pic:spPr>
                    <a:xfrm>
                      <a:off x="0" y="0"/>
                      <a:ext cx="5057775" cy="3609975"/>
                    </a:xfrm>
                    <a:prstGeom prst="rect">
                      <a:avLst/>
                    </a:prstGeom>
                  </pic:spPr>
                </pic:pic>
              </a:graphicData>
            </a:graphic>
          </wp:inline>
        </w:drawing>
      </w:r>
    </w:p>
    <w:p w14:paraId="354E7A1B" w14:textId="77777777" w:rsidR="00C577D9" w:rsidRDefault="00C52813">
      <w:pPr>
        <w:pStyle w:val="a7"/>
        <w:snapToGrid w:val="0"/>
        <w:spacing w:line="360" w:lineRule="auto"/>
        <w:ind w:firstLine="0"/>
        <w:rPr>
          <w:rFonts w:ascii="宋体" w:hAnsi="宋体"/>
        </w:rPr>
      </w:pPr>
      <w:r>
        <w:rPr>
          <w:rFonts w:ascii="宋体" w:hAnsi="宋体" w:hint="eastAsia"/>
        </w:rPr>
        <w:t>选择权益资金成本（注：选择两种计算方法中结果较小值）、债务资金成本，按照各自占比进行加</w:t>
      </w:r>
      <w:r>
        <w:rPr>
          <w:rFonts w:ascii="宋体" w:hAnsi="宋体" w:hint="eastAsia"/>
        </w:rPr>
        <w:t>权平均计算综合资本成本：综合资本成本</w:t>
      </w:r>
      <w:r>
        <w:rPr>
          <w:rFonts w:ascii="宋体" w:hAnsi="宋体" w:hint="eastAsia"/>
        </w:rPr>
        <w:t xml:space="preserve"> = </w:t>
      </w:r>
      <w:r>
        <w:rPr>
          <w:rFonts w:ascii="宋体" w:hAnsi="宋体" w:hint="eastAsia"/>
        </w:rPr>
        <w:t>权益资金成本率×权益占总资产比重</w:t>
      </w:r>
      <w:r>
        <w:rPr>
          <w:rFonts w:ascii="宋体" w:hAnsi="宋体" w:hint="eastAsia"/>
        </w:rPr>
        <w:t xml:space="preserve"> + </w:t>
      </w:r>
      <w:r>
        <w:rPr>
          <w:rFonts w:ascii="宋体" w:hAnsi="宋体" w:hint="eastAsia"/>
        </w:rPr>
        <w:t>债务资金成本率×债务占总资产比重。</w:t>
      </w:r>
    </w:p>
    <w:p w14:paraId="1EAF278A"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160F73BC" wp14:editId="69D7AEDD">
            <wp:extent cx="5274310" cy="832485"/>
            <wp:effectExtent l="0" t="0" r="2540"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6"/>
                    <a:stretch>
                      <a:fillRect/>
                    </a:stretch>
                  </pic:blipFill>
                  <pic:spPr>
                    <a:xfrm>
                      <a:off x="0" y="0"/>
                      <a:ext cx="5274310" cy="832485"/>
                    </a:xfrm>
                    <a:prstGeom prst="rect">
                      <a:avLst/>
                    </a:prstGeom>
                  </pic:spPr>
                </pic:pic>
              </a:graphicData>
            </a:graphic>
          </wp:inline>
        </w:drawing>
      </w:r>
    </w:p>
    <w:p w14:paraId="408CA8C8"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cs="Calibri"/>
          <w:b/>
          <w:bCs/>
          <w:kern w:val="0"/>
          <w:szCs w:val="21"/>
        </w:rPr>
        <w:t>2</w:t>
      </w:r>
      <w:r>
        <w:rPr>
          <w:rFonts w:ascii="宋体" w:eastAsia="宋体" w:hAnsi="宋体" w:cs="Calibri" w:hint="eastAsia"/>
          <w:b/>
          <w:bCs/>
          <w:kern w:val="0"/>
          <w:szCs w:val="21"/>
        </w:rPr>
        <w:t>、融资决策资金成本模块实验</w:t>
      </w:r>
    </w:p>
    <w:p w14:paraId="6F33DDB7"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w:t>
      </w:r>
      <w:r>
        <w:rPr>
          <w:rFonts w:ascii="宋体" w:eastAsia="宋体" w:hAnsi="宋体" w:hint="eastAsia"/>
          <w:szCs w:val="21"/>
        </w:rPr>
        <w:t>1</w:t>
      </w:r>
      <w:r>
        <w:rPr>
          <w:rFonts w:ascii="宋体" w:eastAsia="宋体" w:hAnsi="宋体" w:hint="eastAsia"/>
          <w:szCs w:val="21"/>
        </w:rPr>
        <w:t>）营业收入增长预测</w:t>
      </w:r>
    </w:p>
    <w:p w14:paraId="33CDA640"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根据</w:t>
      </w:r>
      <w:r>
        <w:rPr>
          <w:rFonts w:ascii="宋体" w:eastAsia="宋体" w:hAnsi="宋体" w:hint="eastAsia"/>
          <w:szCs w:val="21"/>
        </w:rPr>
        <w:t>&lt;</w:t>
      </w:r>
      <w:r>
        <w:rPr>
          <w:rFonts w:ascii="宋体" w:eastAsia="宋体" w:hAnsi="宋体" w:hint="eastAsia"/>
          <w:szCs w:val="21"/>
        </w:rPr>
        <w:t>投委会【</w:t>
      </w:r>
      <w:r>
        <w:rPr>
          <w:rFonts w:ascii="宋体" w:eastAsia="宋体" w:hAnsi="宋体" w:hint="eastAsia"/>
          <w:szCs w:val="21"/>
        </w:rPr>
        <w:t>2017</w:t>
      </w:r>
      <w:r>
        <w:rPr>
          <w:rFonts w:ascii="宋体" w:eastAsia="宋体" w:hAnsi="宋体" w:hint="eastAsia"/>
          <w:szCs w:val="21"/>
        </w:rPr>
        <w:t>】</w:t>
      </w:r>
      <w:r>
        <w:rPr>
          <w:rFonts w:ascii="宋体" w:eastAsia="宋体" w:hAnsi="宋体" w:hint="eastAsia"/>
          <w:szCs w:val="21"/>
        </w:rPr>
        <w:t>1</w:t>
      </w:r>
      <w:r>
        <w:rPr>
          <w:rFonts w:ascii="宋体" w:eastAsia="宋体" w:hAnsi="宋体" w:hint="eastAsia"/>
          <w:szCs w:val="21"/>
        </w:rPr>
        <w:t>号</w:t>
      </w:r>
      <w:r>
        <w:rPr>
          <w:rFonts w:ascii="宋体" w:eastAsia="宋体" w:hAnsi="宋体" w:hint="eastAsia"/>
          <w:szCs w:val="21"/>
        </w:rPr>
        <w:t>&gt;</w:t>
      </w:r>
      <w:r>
        <w:rPr>
          <w:rFonts w:ascii="宋体" w:eastAsia="宋体" w:hAnsi="宋体" w:hint="eastAsia"/>
          <w:szCs w:val="21"/>
        </w:rPr>
        <w:t>会议纪要，了解企业</w:t>
      </w:r>
      <w:r>
        <w:rPr>
          <w:rFonts w:ascii="宋体" w:eastAsia="宋体" w:hAnsi="宋体" w:hint="eastAsia"/>
          <w:szCs w:val="21"/>
        </w:rPr>
        <w:t>2017</w:t>
      </w:r>
      <w:r>
        <w:rPr>
          <w:rFonts w:ascii="宋体" w:eastAsia="宋体" w:hAnsi="宋体" w:hint="eastAsia"/>
          <w:szCs w:val="21"/>
        </w:rPr>
        <w:t>年投资计划、影响售价变动情况及销售率情况，并在工具中填制“销售率”指标。</w:t>
      </w:r>
    </w:p>
    <w:p w14:paraId="736FA6F6"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125C3DA3" wp14:editId="77B55886">
            <wp:extent cx="5274310" cy="385127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7"/>
                    <a:stretch>
                      <a:fillRect/>
                    </a:stretch>
                  </pic:blipFill>
                  <pic:spPr>
                    <a:xfrm>
                      <a:off x="0" y="0"/>
                      <a:ext cx="5274310" cy="3851275"/>
                    </a:xfrm>
                    <a:prstGeom prst="rect">
                      <a:avLst/>
                    </a:prstGeom>
                  </pic:spPr>
                </pic:pic>
              </a:graphicData>
            </a:graphic>
          </wp:inline>
        </w:drawing>
      </w:r>
    </w:p>
    <w:p w14:paraId="1D6510AC"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&lt;</w:t>
      </w:r>
      <w:r>
        <w:rPr>
          <w:rFonts w:ascii="宋体" w:hAnsi="宋体" w:hint="eastAsia"/>
        </w:rPr>
        <w:t>投委会【</w:t>
      </w:r>
      <w:r>
        <w:rPr>
          <w:rFonts w:ascii="宋体" w:hAnsi="宋体" w:hint="eastAsia"/>
        </w:rPr>
        <w:t>2017</w:t>
      </w:r>
      <w:r>
        <w:rPr>
          <w:rFonts w:ascii="宋体" w:hAnsi="宋体" w:hint="eastAsia"/>
        </w:rPr>
        <w:t>】</w:t>
      </w:r>
      <w:r>
        <w:rPr>
          <w:rFonts w:ascii="宋体" w:hAnsi="宋体" w:hint="eastAsia"/>
        </w:rPr>
        <w:t>1</w:t>
      </w:r>
      <w:r>
        <w:rPr>
          <w:rFonts w:ascii="宋体" w:hAnsi="宋体" w:hint="eastAsia"/>
        </w:rPr>
        <w:t>号</w:t>
      </w:r>
      <w:r>
        <w:rPr>
          <w:rFonts w:ascii="宋体" w:hAnsi="宋体" w:hint="eastAsia"/>
        </w:rPr>
        <w:t>&gt;</w:t>
      </w:r>
      <w:r>
        <w:rPr>
          <w:rFonts w:ascii="宋体" w:hAnsi="宋体" w:hint="eastAsia"/>
        </w:rPr>
        <w:t>信息了解新增生产线套数、根据</w:t>
      </w:r>
      <w:r>
        <w:rPr>
          <w:rFonts w:ascii="宋体" w:hAnsi="宋体" w:hint="eastAsia"/>
        </w:rPr>
        <w:t>&lt;</w:t>
      </w:r>
      <w:r>
        <w:rPr>
          <w:rFonts w:ascii="宋体" w:hAnsi="宋体" w:hint="eastAsia"/>
        </w:rPr>
        <w:t>生产设备投资成本及进度表</w:t>
      </w:r>
      <w:r>
        <w:rPr>
          <w:rFonts w:ascii="宋体" w:hAnsi="宋体" w:hint="eastAsia"/>
        </w:rPr>
        <w:t>&gt;</w:t>
      </w:r>
      <w:r>
        <w:rPr>
          <w:rFonts w:ascii="宋体" w:hAnsi="宋体" w:hint="eastAsia"/>
        </w:rPr>
        <w:t>和</w:t>
      </w:r>
      <w:r>
        <w:rPr>
          <w:rFonts w:ascii="宋体" w:hAnsi="宋体" w:hint="eastAsia"/>
        </w:rPr>
        <w:t>&lt;</w:t>
      </w:r>
      <w:r>
        <w:rPr>
          <w:rFonts w:ascii="宋体" w:hAnsi="宋体" w:hint="eastAsia"/>
        </w:rPr>
        <w:t>单套生产设备投产后各年产能统计表</w:t>
      </w:r>
      <w:r>
        <w:rPr>
          <w:rFonts w:ascii="宋体" w:hAnsi="宋体" w:hint="eastAsia"/>
        </w:rPr>
        <w:t>&gt;</w:t>
      </w:r>
      <w:r>
        <w:rPr>
          <w:rFonts w:ascii="宋体" w:hAnsi="宋体" w:hint="eastAsia"/>
        </w:rPr>
        <w:t>信息了解</w:t>
      </w:r>
      <w:r>
        <w:rPr>
          <w:rFonts w:ascii="宋体" w:hAnsi="宋体" w:hint="eastAsia"/>
        </w:rPr>
        <w:t>2017</w:t>
      </w:r>
      <w:r>
        <w:rPr>
          <w:rFonts w:ascii="宋体" w:hAnsi="宋体" w:hint="eastAsia"/>
        </w:rPr>
        <w:t>年新增产能情况；</w:t>
      </w:r>
    </w:p>
    <w:p w14:paraId="493D6023"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0312035F" wp14:editId="6517FC32">
            <wp:extent cx="5274310" cy="6150610"/>
            <wp:effectExtent l="0" t="0" r="2540" b="254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8"/>
                    <a:stretch>
                      <a:fillRect/>
                    </a:stretch>
                  </pic:blipFill>
                  <pic:spPr>
                    <a:xfrm>
                      <a:off x="0" y="0"/>
                      <a:ext cx="5274310" cy="6150610"/>
                    </a:xfrm>
                    <a:prstGeom prst="rect">
                      <a:avLst/>
                    </a:prstGeom>
                  </pic:spPr>
                </pic:pic>
              </a:graphicData>
            </a:graphic>
          </wp:inline>
        </w:drawing>
      </w:r>
    </w:p>
    <w:p w14:paraId="529E0DC2"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&lt;2016</w:t>
      </w:r>
      <w:r>
        <w:rPr>
          <w:rFonts w:ascii="宋体" w:eastAsia="宋体" w:hAnsi="宋体" w:cs="宋体" w:hint="eastAsia"/>
          <w:szCs w:val="21"/>
        </w:rPr>
        <w:t>年产品产量及库存统计表</w:t>
      </w:r>
      <w:r>
        <w:rPr>
          <w:rFonts w:ascii="宋体" w:eastAsia="宋体" w:hAnsi="宋体" w:cs="宋体" w:hint="eastAsia"/>
          <w:szCs w:val="21"/>
        </w:rPr>
        <w:t>&gt;</w:t>
      </w:r>
      <w:r>
        <w:rPr>
          <w:rFonts w:ascii="宋体" w:eastAsia="宋体" w:hAnsi="宋体" w:cs="宋体" w:hint="eastAsia"/>
          <w:szCs w:val="21"/>
        </w:rPr>
        <w:t>信息了解</w:t>
      </w:r>
      <w:r>
        <w:rPr>
          <w:rFonts w:ascii="宋体" w:eastAsia="宋体" w:hAnsi="宋体" w:cs="宋体" w:hint="eastAsia"/>
          <w:szCs w:val="21"/>
        </w:rPr>
        <w:t>2016</w:t>
      </w:r>
      <w:r>
        <w:rPr>
          <w:rFonts w:ascii="宋体" w:eastAsia="宋体" w:hAnsi="宋体" w:cs="宋体" w:hint="eastAsia"/>
          <w:szCs w:val="21"/>
        </w:rPr>
        <w:t>年期末库存及</w:t>
      </w:r>
      <w:r>
        <w:rPr>
          <w:rFonts w:ascii="宋体" w:eastAsia="宋体" w:hAnsi="宋体" w:cs="宋体" w:hint="eastAsia"/>
          <w:szCs w:val="21"/>
        </w:rPr>
        <w:t>2016</w:t>
      </w:r>
      <w:r>
        <w:rPr>
          <w:rFonts w:ascii="宋体" w:eastAsia="宋体" w:hAnsi="宋体" w:cs="宋体" w:hint="eastAsia"/>
          <w:szCs w:val="21"/>
        </w:rPr>
        <w:t>年产量情况；</w:t>
      </w:r>
    </w:p>
    <w:p w14:paraId="1482ACA9"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6432FC35" wp14:editId="13025945">
            <wp:extent cx="5274310" cy="2628265"/>
            <wp:effectExtent l="0" t="0" r="2540"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9"/>
                    <a:stretch>
                      <a:fillRect/>
                    </a:stretch>
                  </pic:blipFill>
                  <pic:spPr>
                    <a:xfrm>
                      <a:off x="0" y="0"/>
                      <a:ext cx="5274310" cy="2628265"/>
                    </a:xfrm>
                    <a:prstGeom prst="rect">
                      <a:avLst/>
                    </a:prstGeom>
                  </pic:spPr>
                </pic:pic>
              </a:graphicData>
            </a:graphic>
          </wp:inline>
        </w:drawing>
      </w:r>
    </w:p>
    <w:p w14:paraId="7426996C"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2017</w:t>
      </w:r>
      <w:r>
        <w:rPr>
          <w:rFonts w:ascii="宋体" w:hAnsi="宋体" w:hint="eastAsia"/>
        </w:rPr>
        <w:t>年市场投放量</w:t>
      </w:r>
      <w:r>
        <w:rPr>
          <w:rFonts w:ascii="宋体" w:hAnsi="宋体" w:hint="eastAsia"/>
        </w:rPr>
        <w:t xml:space="preserve"> = 2016</w:t>
      </w:r>
      <w:r>
        <w:rPr>
          <w:rFonts w:ascii="宋体" w:hAnsi="宋体" w:hint="eastAsia"/>
        </w:rPr>
        <w:t>年产量</w:t>
      </w:r>
      <w:r>
        <w:rPr>
          <w:rFonts w:ascii="宋体" w:hAnsi="宋体" w:hint="eastAsia"/>
        </w:rPr>
        <w:t xml:space="preserve"> + 2017</w:t>
      </w:r>
      <w:r>
        <w:rPr>
          <w:rFonts w:ascii="宋体" w:hAnsi="宋体" w:hint="eastAsia"/>
        </w:rPr>
        <w:t>年新增产量</w:t>
      </w:r>
      <w:r>
        <w:rPr>
          <w:rFonts w:ascii="宋体" w:hAnsi="宋体" w:hint="eastAsia"/>
        </w:rPr>
        <w:t xml:space="preserve"> + 2016</w:t>
      </w:r>
      <w:r>
        <w:rPr>
          <w:rFonts w:ascii="宋体" w:hAnsi="宋体" w:hint="eastAsia"/>
        </w:rPr>
        <w:t>年期末库存，计算并填写“市场投放量”指标。</w:t>
      </w:r>
    </w:p>
    <w:p w14:paraId="07D8AFC3"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5C2761A4" wp14:editId="6DD9A58B">
            <wp:extent cx="5274310" cy="918210"/>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0"/>
                    <a:stretch>
                      <a:fillRect/>
                    </a:stretch>
                  </pic:blipFill>
                  <pic:spPr>
                    <a:xfrm>
                      <a:off x="0" y="0"/>
                      <a:ext cx="5274310" cy="918210"/>
                    </a:xfrm>
                    <a:prstGeom prst="rect">
                      <a:avLst/>
                    </a:prstGeom>
                  </pic:spPr>
                </pic:pic>
              </a:graphicData>
            </a:graphic>
          </wp:inline>
        </w:drawing>
      </w:r>
    </w:p>
    <w:p w14:paraId="1EDB7221" w14:textId="77777777" w:rsidR="00C577D9" w:rsidRDefault="00C52813">
      <w:pPr>
        <w:pStyle w:val="a7"/>
        <w:snapToGrid w:val="0"/>
        <w:spacing w:line="360" w:lineRule="auto"/>
        <w:ind w:left="284" w:firstLine="0"/>
        <w:rPr>
          <w:rFonts w:ascii="宋体" w:hAnsi="宋体"/>
        </w:rPr>
      </w:pPr>
      <w:r>
        <w:rPr>
          <w:rFonts w:ascii="宋体" w:hAnsi="宋体" w:hint="eastAsia"/>
        </w:rPr>
        <w:t>根据市场投放量和销售率信息，计算并填写“销售量”指标。</w:t>
      </w:r>
    </w:p>
    <w:p w14:paraId="63B62EDB"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51B0C4F3" wp14:editId="05807712">
            <wp:extent cx="5274310" cy="958215"/>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1"/>
                    <a:stretch>
                      <a:fillRect/>
                    </a:stretch>
                  </pic:blipFill>
                  <pic:spPr>
                    <a:xfrm>
                      <a:off x="0" y="0"/>
                      <a:ext cx="5274310" cy="958215"/>
                    </a:xfrm>
                    <a:prstGeom prst="rect">
                      <a:avLst/>
                    </a:prstGeom>
                  </pic:spPr>
                </pic:pic>
              </a:graphicData>
            </a:graphic>
          </wp:inline>
        </w:drawing>
      </w:r>
    </w:p>
    <w:p w14:paraId="5F3083B7"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&lt;</w:t>
      </w:r>
      <w:r>
        <w:rPr>
          <w:rFonts w:ascii="宋体" w:hAnsi="宋体" w:hint="eastAsia"/>
        </w:rPr>
        <w:t>公司主要产品销售单价统计表</w:t>
      </w:r>
      <w:r>
        <w:rPr>
          <w:rFonts w:ascii="宋体" w:hAnsi="宋体" w:hint="eastAsia"/>
        </w:rPr>
        <w:t>&gt;</w:t>
      </w:r>
      <w:r>
        <w:rPr>
          <w:rFonts w:ascii="宋体" w:hAnsi="宋体" w:hint="eastAsia"/>
        </w:rPr>
        <w:t>提供信息及</w:t>
      </w:r>
      <w:r>
        <w:rPr>
          <w:rFonts w:ascii="宋体" w:hAnsi="宋体" w:hint="eastAsia"/>
        </w:rPr>
        <w:t>2017</w:t>
      </w:r>
      <w:r>
        <w:rPr>
          <w:rFonts w:ascii="宋体" w:hAnsi="宋体" w:hint="eastAsia"/>
        </w:rPr>
        <w:t>年售价变化情况，</w:t>
      </w:r>
      <w:r>
        <w:rPr>
          <w:rFonts w:ascii="宋体" w:hAnsi="宋体" w:hint="eastAsia"/>
        </w:rPr>
        <w:t>计算</w:t>
      </w:r>
      <w:r>
        <w:rPr>
          <w:rFonts w:ascii="宋体" w:hAnsi="宋体" w:hint="eastAsia"/>
        </w:rPr>
        <w:t>2017</w:t>
      </w:r>
      <w:r>
        <w:rPr>
          <w:rFonts w:ascii="宋体" w:hAnsi="宋体" w:hint="eastAsia"/>
        </w:rPr>
        <w:t>年各产品均价，填列“销售均价”指标。</w:t>
      </w:r>
    </w:p>
    <w:p w14:paraId="6339DC7E"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2C64AA62" wp14:editId="2CE937F6">
            <wp:extent cx="5274310" cy="3823335"/>
            <wp:effectExtent l="0" t="0" r="2540" b="57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2"/>
                    <a:stretch>
                      <a:fillRect/>
                    </a:stretch>
                  </pic:blipFill>
                  <pic:spPr>
                    <a:xfrm>
                      <a:off x="0" y="0"/>
                      <a:ext cx="5274310" cy="3823335"/>
                    </a:xfrm>
                    <a:prstGeom prst="rect">
                      <a:avLst/>
                    </a:prstGeom>
                  </pic:spPr>
                </pic:pic>
              </a:graphicData>
            </a:graphic>
          </wp:inline>
        </w:drawing>
      </w:r>
    </w:p>
    <w:p w14:paraId="3DCCC5E2"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2016</w:t>
      </w:r>
      <w:r>
        <w:rPr>
          <w:rFonts w:ascii="宋体" w:hAnsi="宋体" w:hint="eastAsia"/>
        </w:rPr>
        <w:t>年营业收入和</w:t>
      </w:r>
      <w:r>
        <w:rPr>
          <w:rFonts w:ascii="宋体" w:hAnsi="宋体" w:hint="eastAsia"/>
        </w:rPr>
        <w:t>2017</w:t>
      </w:r>
      <w:r>
        <w:rPr>
          <w:rFonts w:ascii="宋体" w:hAnsi="宋体" w:hint="eastAsia"/>
        </w:rPr>
        <w:t>年预计营业收入，计算</w:t>
      </w:r>
      <w:r>
        <w:rPr>
          <w:rFonts w:ascii="宋体" w:hAnsi="宋体" w:hint="eastAsia"/>
        </w:rPr>
        <w:t>2017</w:t>
      </w:r>
      <w:r>
        <w:rPr>
          <w:rFonts w:ascii="宋体" w:hAnsi="宋体" w:hint="eastAsia"/>
        </w:rPr>
        <w:t>年营业收入增长率。</w:t>
      </w:r>
    </w:p>
    <w:p w14:paraId="73D04F75"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0A14A15A" wp14:editId="547EAA06">
            <wp:extent cx="3009900" cy="39052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3"/>
                    <a:stretch>
                      <a:fillRect/>
                    </a:stretch>
                  </pic:blipFill>
                  <pic:spPr>
                    <a:xfrm>
                      <a:off x="0" y="0"/>
                      <a:ext cx="3009900" cy="390525"/>
                    </a:xfrm>
                    <a:prstGeom prst="rect">
                      <a:avLst/>
                    </a:prstGeom>
                  </pic:spPr>
                </pic:pic>
              </a:graphicData>
            </a:graphic>
          </wp:inline>
        </w:drawing>
      </w:r>
    </w:p>
    <w:p w14:paraId="19852BF9"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b/>
          <w:bCs/>
          <w:kern w:val="0"/>
          <w:szCs w:val="21"/>
        </w:rPr>
        <w:t>（</w:t>
      </w:r>
      <w:r>
        <w:rPr>
          <w:rFonts w:ascii="宋体" w:eastAsia="宋体" w:hAnsi="宋体" w:cs="Calibri" w:hint="eastAsia"/>
          <w:b/>
          <w:bCs/>
          <w:kern w:val="0"/>
          <w:szCs w:val="21"/>
        </w:rPr>
        <w:t>2</w:t>
      </w:r>
      <w:r>
        <w:rPr>
          <w:rFonts w:ascii="宋体" w:eastAsia="宋体" w:hAnsi="宋体" w:cs="Calibri" w:hint="eastAsia"/>
          <w:b/>
          <w:bCs/>
          <w:kern w:val="0"/>
          <w:szCs w:val="21"/>
        </w:rPr>
        <w:t>）</w:t>
      </w:r>
      <w:r>
        <w:rPr>
          <w:rFonts w:ascii="宋体" w:eastAsia="宋体" w:hAnsi="宋体" w:hint="eastAsia"/>
          <w:szCs w:val="21"/>
        </w:rPr>
        <w:t>销售百分比法进行利润表预测</w:t>
      </w:r>
    </w:p>
    <w:p w14:paraId="24F4BBA9"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&lt;</w:t>
      </w:r>
      <w:r>
        <w:rPr>
          <w:rFonts w:ascii="宋体" w:hAnsi="宋体" w:hint="eastAsia"/>
        </w:rPr>
        <w:t>报表项目与营业收入敏感性分析参考</w:t>
      </w:r>
      <w:r>
        <w:rPr>
          <w:rFonts w:ascii="宋体" w:hAnsi="宋体" w:hint="eastAsia"/>
        </w:rPr>
        <w:t>&gt;</w:t>
      </w:r>
      <w:r>
        <w:rPr>
          <w:rFonts w:ascii="宋体" w:hAnsi="宋体" w:hint="eastAsia"/>
        </w:rPr>
        <w:t>的信息，判断利润各项目的是否为营业收入敏感项目，并填列相应判断。</w:t>
      </w:r>
    </w:p>
    <w:p w14:paraId="5BD011D1"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1A4D8817" wp14:editId="2B6AA104">
            <wp:extent cx="5274310" cy="5212080"/>
            <wp:effectExtent l="0" t="0" r="2540" b="762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4"/>
                    <a:stretch>
                      <a:fillRect/>
                    </a:stretch>
                  </pic:blipFill>
                  <pic:spPr>
                    <a:xfrm>
                      <a:off x="0" y="0"/>
                      <a:ext cx="5274310" cy="5212080"/>
                    </a:xfrm>
                    <a:prstGeom prst="rect">
                      <a:avLst/>
                    </a:prstGeom>
                  </pic:spPr>
                </pic:pic>
              </a:graphicData>
            </a:graphic>
          </wp:inline>
        </w:drawing>
      </w:r>
    </w:p>
    <w:p w14:paraId="58486D72"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&lt;2016</w:t>
      </w:r>
      <w:r>
        <w:rPr>
          <w:rFonts w:ascii="宋体" w:hAnsi="宋体" w:hint="eastAsia"/>
        </w:rPr>
        <w:t>年利润表（长城实业）</w:t>
      </w:r>
      <w:r>
        <w:rPr>
          <w:rFonts w:ascii="宋体" w:hAnsi="宋体" w:hint="eastAsia"/>
        </w:rPr>
        <w:t>&gt;</w:t>
      </w:r>
      <w:r>
        <w:rPr>
          <w:rFonts w:ascii="宋体" w:hAnsi="宋体" w:hint="eastAsia"/>
        </w:rPr>
        <w:t>提供信息，填列</w:t>
      </w:r>
      <w:r>
        <w:rPr>
          <w:rFonts w:ascii="宋体" w:hAnsi="宋体" w:hint="eastAsia"/>
        </w:rPr>
        <w:t>2016</w:t>
      </w:r>
      <w:r>
        <w:rPr>
          <w:rFonts w:ascii="宋体" w:hAnsi="宋体" w:hint="eastAsia"/>
        </w:rPr>
        <w:t>年各指标金额。</w:t>
      </w:r>
    </w:p>
    <w:p w14:paraId="6D9B852E"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34AFD4F2" wp14:editId="58890E1F">
            <wp:extent cx="5274310" cy="5631180"/>
            <wp:effectExtent l="0" t="0" r="2540" b="762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5"/>
                    <a:stretch>
                      <a:fillRect/>
                    </a:stretch>
                  </pic:blipFill>
                  <pic:spPr>
                    <a:xfrm>
                      <a:off x="0" y="0"/>
                      <a:ext cx="5274310" cy="5631180"/>
                    </a:xfrm>
                    <a:prstGeom prst="rect">
                      <a:avLst/>
                    </a:prstGeom>
                  </pic:spPr>
                </pic:pic>
              </a:graphicData>
            </a:graphic>
          </wp:inline>
        </w:drawing>
      </w:r>
    </w:p>
    <w:p w14:paraId="02511C97" w14:textId="77777777" w:rsidR="00C577D9" w:rsidRDefault="00C52813">
      <w:pPr>
        <w:pStyle w:val="a7"/>
        <w:snapToGrid w:val="0"/>
        <w:spacing w:line="360" w:lineRule="auto"/>
        <w:ind w:left="284" w:firstLine="0"/>
        <w:rPr>
          <w:rFonts w:ascii="宋体" w:hAnsi="宋体"/>
        </w:rPr>
      </w:pPr>
      <w:r>
        <w:rPr>
          <w:rFonts w:ascii="宋体" w:hAnsi="宋体" w:hint="eastAsia"/>
        </w:rPr>
        <w:t>按照“敏感项目按照销售百分比进行预测，非敏感项目如果没有编制依据，按照</w:t>
      </w:r>
      <w:r>
        <w:rPr>
          <w:rFonts w:ascii="宋体" w:hAnsi="宋体" w:hint="eastAsia"/>
        </w:rPr>
        <w:t>2016</w:t>
      </w:r>
      <w:r>
        <w:rPr>
          <w:rFonts w:ascii="宋体" w:hAnsi="宋体" w:hint="eastAsia"/>
        </w:rPr>
        <w:t>年金额预测”的要求对</w:t>
      </w:r>
      <w:r>
        <w:rPr>
          <w:rFonts w:ascii="宋体" w:hAnsi="宋体" w:hint="eastAsia"/>
        </w:rPr>
        <w:t>2017</w:t>
      </w:r>
      <w:r>
        <w:rPr>
          <w:rFonts w:ascii="宋体" w:hAnsi="宋体" w:hint="eastAsia"/>
        </w:rPr>
        <w:t>年各项目进行预测。其中：敏感项目</w:t>
      </w:r>
      <w:r>
        <w:rPr>
          <w:rFonts w:ascii="宋体" w:hAnsi="宋体" w:hint="eastAsia"/>
        </w:rPr>
        <w:t>2017</w:t>
      </w:r>
      <w:r>
        <w:rPr>
          <w:rFonts w:ascii="宋体" w:hAnsi="宋体" w:hint="eastAsia"/>
        </w:rPr>
        <w:t>年金额</w:t>
      </w:r>
      <w:r>
        <w:rPr>
          <w:rFonts w:ascii="宋体" w:hAnsi="宋体" w:hint="eastAsia"/>
        </w:rPr>
        <w:t xml:space="preserve"> = 2016</w:t>
      </w:r>
      <w:r>
        <w:rPr>
          <w:rFonts w:ascii="宋体" w:hAnsi="宋体" w:hint="eastAsia"/>
        </w:rPr>
        <w:t>年金额×（</w:t>
      </w:r>
      <w:r>
        <w:rPr>
          <w:rFonts w:ascii="宋体" w:hAnsi="宋体" w:hint="eastAsia"/>
        </w:rPr>
        <w:t>1+2017</w:t>
      </w:r>
      <w:r>
        <w:rPr>
          <w:rFonts w:ascii="宋体" w:hAnsi="宋体" w:hint="eastAsia"/>
        </w:rPr>
        <w:t>年营业收入预计增长率），其他项目按照</w:t>
      </w:r>
      <w:r>
        <w:rPr>
          <w:rFonts w:ascii="宋体" w:hAnsi="宋体" w:hint="eastAsia"/>
        </w:rPr>
        <w:t>2016</w:t>
      </w:r>
      <w:r>
        <w:rPr>
          <w:rFonts w:ascii="宋体" w:hAnsi="宋体" w:hint="eastAsia"/>
        </w:rPr>
        <w:t>年金额预测，“营业利润”、“利润总额”、“所得税”、“净利润”指标为综合指标，为其他指标计算得出，其中所得税</w:t>
      </w:r>
      <w:r>
        <w:rPr>
          <w:rFonts w:ascii="宋体" w:hAnsi="宋体" w:hint="eastAsia"/>
        </w:rPr>
        <w:t xml:space="preserve"> = </w:t>
      </w:r>
      <w:r>
        <w:rPr>
          <w:rFonts w:ascii="宋体" w:hAnsi="宋体" w:hint="eastAsia"/>
        </w:rPr>
        <w:t>利润综合×税率，留存收益增加额</w:t>
      </w:r>
      <w:r>
        <w:rPr>
          <w:rFonts w:ascii="宋体" w:hAnsi="宋体" w:hint="eastAsia"/>
        </w:rPr>
        <w:t xml:space="preserve"> = 2017</w:t>
      </w:r>
      <w:r>
        <w:rPr>
          <w:rFonts w:ascii="宋体" w:hAnsi="宋体" w:hint="eastAsia"/>
        </w:rPr>
        <w:t>年净利润。</w:t>
      </w:r>
    </w:p>
    <w:p w14:paraId="7CC28F77"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1CEF9CAC" wp14:editId="2F5A2B0E">
            <wp:extent cx="5274310" cy="2362200"/>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6"/>
                    <a:stretch>
                      <a:fillRect/>
                    </a:stretch>
                  </pic:blipFill>
                  <pic:spPr>
                    <a:xfrm>
                      <a:off x="0" y="0"/>
                      <a:ext cx="5274310" cy="2362200"/>
                    </a:xfrm>
                    <a:prstGeom prst="rect">
                      <a:avLst/>
                    </a:prstGeom>
                  </pic:spPr>
                </pic:pic>
              </a:graphicData>
            </a:graphic>
          </wp:inline>
        </w:drawing>
      </w:r>
    </w:p>
    <w:p w14:paraId="4F06B46E"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b/>
          <w:bCs/>
          <w:kern w:val="0"/>
          <w:szCs w:val="21"/>
        </w:rPr>
        <w:t>（</w:t>
      </w:r>
      <w:r>
        <w:rPr>
          <w:rFonts w:ascii="宋体" w:eastAsia="宋体" w:hAnsi="宋体" w:cs="Calibri" w:hint="eastAsia"/>
          <w:b/>
          <w:bCs/>
          <w:kern w:val="0"/>
          <w:szCs w:val="21"/>
        </w:rPr>
        <w:t>3</w:t>
      </w:r>
      <w:r>
        <w:rPr>
          <w:rFonts w:ascii="宋体" w:eastAsia="宋体" w:hAnsi="宋体" w:cs="Calibri" w:hint="eastAsia"/>
          <w:b/>
          <w:bCs/>
          <w:kern w:val="0"/>
          <w:szCs w:val="21"/>
        </w:rPr>
        <w:t>）</w:t>
      </w:r>
      <w:r>
        <w:rPr>
          <w:rFonts w:ascii="宋体" w:eastAsia="宋体" w:hAnsi="宋体" w:hint="eastAsia"/>
          <w:szCs w:val="21"/>
        </w:rPr>
        <w:t>销售百分比法资产负债表预测</w:t>
      </w:r>
    </w:p>
    <w:p w14:paraId="4F44B59A" w14:textId="77777777" w:rsidR="00C577D9" w:rsidRDefault="00C52813">
      <w:pPr>
        <w:pStyle w:val="a7"/>
        <w:snapToGrid w:val="0"/>
        <w:spacing w:line="360" w:lineRule="auto"/>
        <w:ind w:left="284" w:firstLine="0"/>
        <w:rPr>
          <w:rFonts w:ascii="宋体" w:hAnsi="宋体"/>
        </w:rPr>
      </w:pPr>
      <w:r>
        <w:rPr>
          <w:rFonts w:ascii="宋体" w:hAnsi="宋体" w:hint="eastAsia"/>
        </w:rPr>
        <w:t>根据</w:t>
      </w:r>
      <w:r>
        <w:rPr>
          <w:rFonts w:ascii="宋体" w:hAnsi="宋体" w:hint="eastAsia"/>
        </w:rPr>
        <w:t>&lt;</w:t>
      </w:r>
      <w:r>
        <w:rPr>
          <w:rFonts w:ascii="宋体" w:hAnsi="宋体" w:hint="eastAsia"/>
        </w:rPr>
        <w:t>报表项目与营业收入敏感性分析参考</w:t>
      </w:r>
      <w:r>
        <w:rPr>
          <w:rFonts w:ascii="宋体" w:hAnsi="宋体" w:hint="eastAsia"/>
        </w:rPr>
        <w:t>&gt;</w:t>
      </w:r>
      <w:r>
        <w:rPr>
          <w:rFonts w:ascii="宋体" w:hAnsi="宋体" w:hint="eastAsia"/>
        </w:rPr>
        <w:t>的信息，判断利润各项目的是否为营业收入敏感项目，并填列相应判断。</w:t>
      </w:r>
    </w:p>
    <w:p w14:paraId="19F7C664"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3132973F" wp14:editId="7CE11995">
            <wp:extent cx="5274310" cy="472821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7"/>
                    <a:stretch>
                      <a:fillRect/>
                    </a:stretch>
                  </pic:blipFill>
                  <pic:spPr>
                    <a:xfrm>
                      <a:off x="0" y="0"/>
                      <a:ext cx="5274310" cy="4728210"/>
                    </a:xfrm>
                    <a:prstGeom prst="rect">
                      <a:avLst/>
                    </a:prstGeom>
                  </pic:spPr>
                </pic:pic>
              </a:graphicData>
            </a:graphic>
          </wp:inline>
        </w:drawing>
      </w:r>
    </w:p>
    <w:p w14:paraId="51829DF4"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根据</w:t>
      </w:r>
      <w:r>
        <w:rPr>
          <w:rFonts w:ascii="宋体" w:eastAsia="宋体" w:hAnsi="宋体" w:cs="宋体" w:hint="eastAsia"/>
          <w:szCs w:val="21"/>
        </w:rPr>
        <w:t>&lt;2016</w:t>
      </w:r>
      <w:r>
        <w:rPr>
          <w:rFonts w:ascii="宋体" w:eastAsia="宋体" w:hAnsi="宋体" w:cs="宋体" w:hint="eastAsia"/>
          <w:szCs w:val="21"/>
        </w:rPr>
        <w:t>年资产负债表（长城实业）</w:t>
      </w:r>
      <w:r>
        <w:rPr>
          <w:rFonts w:ascii="宋体" w:eastAsia="宋体" w:hAnsi="宋体" w:cs="宋体" w:hint="eastAsia"/>
          <w:szCs w:val="21"/>
        </w:rPr>
        <w:t>&gt;</w:t>
      </w:r>
      <w:r>
        <w:rPr>
          <w:rFonts w:ascii="宋体" w:eastAsia="宋体" w:hAnsi="宋体" w:cs="宋体" w:hint="eastAsia"/>
          <w:szCs w:val="21"/>
        </w:rPr>
        <w:t>提供信息，填列</w:t>
      </w:r>
      <w:r>
        <w:rPr>
          <w:rFonts w:ascii="宋体" w:eastAsia="宋体" w:hAnsi="宋体" w:cs="宋体" w:hint="eastAsia"/>
          <w:szCs w:val="21"/>
        </w:rPr>
        <w:t>2016</w:t>
      </w:r>
      <w:r>
        <w:rPr>
          <w:rFonts w:ascii="宋体" w:eastAsia="宋体" w:hAnsi="宋体" w:cs="宋体" w:hint="eastAsia"/>
          <w:szCs w:val="21"/>
        </w:rPr>
        <w:t>年各指标金额。</w:t>
      </w:r>
    </w:p>
    <w:p w14:paraId="1AF27940"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629F7731" wp14:editId="1AAC7BA1">
            <wp:extent cx="5274310" cy="5310505"/>
            <wp:effectExtent l="0" t="0" r="2540" b="444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8"/>
                    <a:stretch>
                      <a:fillRect/>
                    </a:stretch>
                  </pic:blipFill>
                  <pic:spPr>
                    <a:xfrm>
                      <a:off x="0" y="0"/>
                      <a:ext cx="5274310" cy="5310505"/>
                    </a:xfrm>
                    <a:prstGeom prst="rect">
                      <a:avLst/>
                    </a:prstGeom>
                  </pic:spPr>
                </pic:pic>
              </a:graphicData>
            </a:graphic>
          </wp:inline>
        </w:drawing>
      </w:r>
    </w:p>
    <w:p w14:paraId="63225D65" w14:textId="77777777" w:rsidR="00C577D9" w:rsidRDefault="00C52813">
      <w:pPr>
        <w:pStyle w:val="a7"/>
        <w:snapToGrid w:val="0"/>
        <w:spacing w:line="360" w:lineRule="auto"/>
        <w:ind w:left="284" w:firstLine="0"/>
        <w:rPr>
          <w:rFonts w:ascii="宋体" w:hAnsi="宋体"/>
        </w:rPr>
      </w:pPr>
      <w:r>
        <w:rPr>
          <w:rFonts w:ascii="宋体" w:hAnsi="宋体" w:hint="eastAsia"/>
        </w:rPr>
        <w:t>按照“敏感项目按照销售百分比进行预测，非敏感项目如果没有编制依据，按照</w:t>
      </w:r>
      <w:r>
        <w:rPr>
          <w:rFonts w:ascii="宋体" w:hAnsi="宋体" w:hint="eastAsia"/>
        </w:rPr>
        <w:t>2016</w:t>
      </w:r>
      <w:r>
        <w:rPr>
          <w:rFonts w:ascii="宋体" w:hAnsi="宋体" w:hint="eastAsia"/>
        </w:rPr>
        <w:t>年金额预测”的要求对</w:t>
      </w:r>
      <w:r>
        <w:rPr>
          <w:rFonts w:ascii="宋体" w:hAnsi="宋体" w:hint="eastAsia"/>
        </w:rPr>
        <w:t>2017</w:t>
      </w:r>
      <w:r>
        <w:rPr>
          <w:rFonts w:ascii="宋体" w:hAnsi="宋体" w:hint="eastAsia"/>
        </w:rPr>
        <w:t>年各项目进行预测。其中：敏感项目</w:t>
      </w:r>
      <w:r>
        <w:rPr>
          <w:rFonts w:ascii="宋体" w:hAnsi="宋体" w:hint="eastAsia"/>
        </w:rPr>
        <w:t>2017</w:t>
      </w:r>
      <w:r>
        <w:rPr>
          <w:rFonts w:ascii="宋体" w:hAnsi="宋体" w:hint="eastAsia"/>
        </w:rPr>
        <w:t>年金额</w:t>
      </w:r>
      <w:r>
        <w:rPr>
          <w:rFonts w:ascii="宋体" w:hAnsi="宋体" w:hint="eastAsia"/>
        </w:rPr>
        <w:t xml:space="preserve"> = 2016</w:t>
      </w:r>
      <w:r>
        <w:rPr>
          <w:rFonts w:ascii="宋体" w:hAnsi="宋体" w:hint="eastAsia"/>
        </w:rPr>
        <w:t>年金额</w:t>
      </w:r>
      <w:r>
        <w:rPr>
          <w:rFonts w:ascii="宋体" w:hAnsi="宋体" w:hint="eastAsia"/>
        </w:rPr>
        <w:t xml:space="preserve"> </w:t>
      </w:r>
      <w:r>
        <w:rPr>
          <w:rFonts w:ascii="宋体" w:hAnsi="宋体" w:hint="eastAsia"/>
        </w:rPr>
        <w:t>×（</w:t>
      </w:r>
      <w:r>
        <w:rPr>
          <w:rFonts w:ascii="宋体" w:hAnsi="宋体" w:hint="eastAsia"/>
        </w:rPr>
        <w:t>1 + 2017</w:t>
      </w:r>
      <w:r>
        <w:rPr>
          <w:rFonts w:ascii="宋体" w:hAnsi="宋体" w:hint="eastAsia"/>
        </w:rPr>
        <w:t>年营业收入预计增长率），其他项目按照</w:t>
      </w:r>
      <w:r>
        <w:rPr>
          <w:rFonts w:ascii="宋体" w:hAnsi="宋体" w:hint="eastAsia"/>
        </w:rPr>
        <w:t>2016</w:t>
      </w:r>
      <w:r>
        <w:rPr>
          <w:rFonts w:ascii="宋体" w:hAnsi="宋体" w:hint="eastAsia"/>
        </w:rPr>
        <w:t>年金额预测，</w:t>
      </w:r>
      <w:r>
        <w:rPr>
          <w:rFonts w:ascii="宋体" w:hAnsi="宋体" w:hint="eastAsia"/>
        </w:rPr>
        <w:t xml:space="preserve"> </w:t>
      </w:r>
      <w:r>
        <w:rPr>
          <w:rFonts w:ascii="宋体" w:hAnsi="宋体" w:hint="eastAsia"/>
        </w:rPr>
        <w:t>以下项目除外：长期股权投资、无形资产根据</w:t>
      </w:r>
      <w:r>
        <w:rPr>
          <w:rFonts w:ascii="宋体" w:hAnsi="宋体" w:hint="eastAsia"/>
        </w:rPr>
        <w:t>&lt;</w:t>
      </w:r>
      <w:r>
        <w:rPr>
          <w:rFonts w:ascii="宋体" w:hAnsi="宋体" w:hint="eastAsia"/>
        </w:rPr>
        <w:t>投委会【</w:t>
      </w:r>
      <w:r>
        <w:rPr>
          <w:rFonts w:ascii="宋体" w:hAnsi="宋体" w:hint="eastAsia"/>
        </w:rPr>
        <w:t>2017</w:t>
      </w:r>
      <w:r>
        <w:rPr>
          <w:rFonts w:ascii="宋体" w:hAnsi="宋体" w:hint="eastAsia"/>
        </w:rPr>
        <w:t>】</w:t>
      </w:r>
      <w:r>
        <w:rPr>
          <w:rFonts w:ascii="宋体" w:hAnsi="宋体" w:hint="eastAsia"/>
        </w:rPr>
        <w:t>1</w:t>
      </w:r>
      <w:r>
        <w:rPr>
          <w:rFonts w:ascii="宋体" w:hAnsi="宋体" w:hint="eastAsia"/>
        </w:rPr>
        <w:t>号</w:t>
      </w:r>
      <w:r>
        <w:rPr>
          <w:rFonts w:ascii="宋体" w:hAnsi="宋体" w:hint="eastAsia"/>
        </w:rPr>
        <w:t>&gt;</w:t>
      </w:r>
      <w:r>
        <w:rPr>
          <w:rFonts w:ascii="宋体" w:hAnsi="宋体" w:hint="eastAsia"/>
        </w:rPr>
        <w:t>信息填制，固定资产根据“</w:t>
      </w:r>
      <w:r>
        <w:rPr>
          <w:rFonts w:ascii="宋体" w:hAnsi="宋体" w:hint="eastAsia"/>
        </w:rPr>
        <w:t>2017</w:t>
      </w:r>
      <w:r>
        <w:rPr>
          <w:rFonts w:ascii="宋体" w:hAnsi="宋体" w:hint="eastAsia"/>
        </w:rPr>
        <w:t>年固定资产预测”信息填制，</w:t>
      </w:r>
      <w:r>
        <w:rPr>
          <w:rFonts w:ascii="宋体" w:hAnsi="宋体" w:hint="eastAsia"/>
        </w:rPr>
        <w:t xml:space="preserve"> 2017</w:t>
      </w:r>
      <w:r>
        <w:rPr>
          <w:rFonts w:ascii="宋体" w:hAnsi="宋体" w:hint="eastAsia"/>
        </w:rPr>
        <w:t>年留存收益</w:t>
      </w:r>
      <w:r>
        <w:rPr>
          <w:rFonts w:ascii="宋体" w:hAnsi="宋体" w:hint="eastAsia"/>
        </w:rPr>
        <w:t xml:space="preserve"> = 2016</w:t>
      </w:r>
      <w:r>
        <w:rPr>
          <w:rFonts w:ascii="宋体" w:hAnsi="宋体" w:hint="eastAsia"/>
        </w:rPr>
        <w:t>年金额</w:t>
      </w:r>
      <w:r>
        <w:rPr>
          <w:rFonts w:ascii="宋体" w:hAnsi="宋体" w:hint="eastAsia"/>
        </w:rPr>
        <w:t xml:space="preserve"> + 2017</w:t>
      </w:r>
      <w:r>
        <w:rPr>
          <w:rFonts w:ascii="宋体" w:hAnsi="宋体" w:hint="eastAsia"/>
        </w:rPr>
        <w:t>年净利润。</w:t>
      </w:r>
    </w:p>
    <w:p w14:paraId="3865E108"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660F8762" wp14:editId="7CC9A7C5">
            <wp:extent cx="5274310" cy="5551170"/>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9"/>
                    <a:stretch>
                      <a:fillRect/>
                    </a:stretch>
                  </pic:blipFill>
                  <pic:spPr>
                    <a:xfrm>
                      <a:off x="0" y="0"/>
                      <a:ext cx="5274310" cy="5551170"/>
                    </a:xfrm>
                    <a:prstGeom prst="rect">
                      <a:avLst/>
                    </a:prstGeom>
                  </pic:spPr>
                </pic:pic>
              </a:graphicData>
            </a:graphic>
          </wp:inline>
        </w:drawing>
      </w:r>
    </w:p>
    <w:p w14:paraId="3776B49E"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b/>
          <w:bCs/>
          <w:kern w:val="0"/>
          <w:szCs w:val="21"/>
        </w:rPr>
        <w:t>（</w:t>
      </w:r>
      <w:r>
        <w:rPr>
          <w:rFonts w:ascii="宋体" w:eastAsia="宋体" w:hAnsi="宋体" w:cs="Calibri" w:hint="eastAsia"/>
          <w:b/>
          <w:bCs/>
          <w:kern w:val="0"/>
          <w:szCs w:val="21"/>
        </w:rPr>
        <w:t>4</w:t>
      </w:r>
      <w:r>
        <w:rPr>
          <w:rFonts w:ascii="宋体" w:eastAsia="宋体" w:hAnsi="宋体" w:cs="Calibri" w:hint="eastAsia"/>
          <w:b/>
          <w:bCs/>
          <w:kern w:val="0"/>
          <w:szCs w:val="21"/>
        </w:rPr>
        <w:t>）</w:t>
      </w:r>
      <w:r>
        <w:rPr>
          <w:rFonts w:ascii="宋体" w:eastAsia="宋体" w:hAnsi="宋体" w:hint="eastAsia"/>
          <w:szCs w:val="21"/>
        </w:rPr>
        <w:t>测试公司外部融资需求</w:t>
      </w:r>
    </w:p>
    <w:p w14:paraId="5FFBDA87"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查看</w:t>
      </w:r>
      <w:r>
        <w:rPr>
          <w:rFonts w:ascii="宋体" w:eastAsia="宋体" w:hAnsi="宋体" w:cs="宋体" w:hint="eastAsia"/>
          <w:szCs w:val="21"/>
        </w:rPr>
        <w:t>2017</w:t>
      </w:r>
      <w:r>
        <w:rPr>
          <w:rFonts w:ascii="宋体" w:eastAsia="宋体" w:hAnsi="宋体" w:cs="宋体" w:hint="eastAsia"/>
          <w:szCs w:val="21"/>
        </w:rPr>
        <w:t>年预测资产负债表各项目情况，观察</w:t>
      </w:r>
      <w:r>
        <w:rPr>
          <w:rFonts w:ascii="宋体" w:eastAsia="宋体" w:hAnsi="宋体" w:cs="宋体" w:hint="eastAsia"/>
          <w:szCs w:val="21"/>
        </w:rPr>
        <w:t>2017</w:t>
      </w:r>
      <w:r>
        <w:rPr>
          <w:rFonts w:ascii="宋体" w:eastAsia="宋体" w:hAnsi="宋体" w:cs="宋体" w:hint="eastAsia"/>
          <w:szCs w:val="21"/>
        </w:rPr>
        <w:t>年资产负债表平衡性校验差额情况。</w:t>
      </w:r>
    </w:p>
    <w:p w14:paraId="5BFB51AC"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查看</w:t>
      </w:r>
      <w:r>
        <w:rPr>
          <w:rFonts w:ascii="宋体" w:eastAsia="宋体" w:hAnsi="宋体" w:cs="宋体" w:hint="eastAsia"/>
          <w:szCs w:val="21"/>
        </w:rPr>
        <w:t>2017</w:t>
      </w:r>
      <w:r>
        <w:rPr>
          <w:rFonts w:ascii="宋体" w:eastAsia="宋体" w:hAnsi="宋体" w:cs="宋体" w:hint="eastAsia"/>
          <w:szCs w:val="21"/>
        </w:rPr>
        <w:t>年预测资产负债表各项目情况，观察</w:t>
      </w:r>
      <w:r>
        <w:rPr>
          <w:rFonts w:ascii="宋体" w:eastAsia="宋体" w:hAnsi="宋体" w:cs="宋体" w:hint="eastAsia"/>
          <w:szCs w:val="21"/>
        </w:rPr>
        <w:t>2017</w:t>
      </w:r>
      <w:r>
        <w:rPr>
          <w:rFonts w:ascii="宋体" w:eastAsia="宋体" w:hAnsi="宋体" w:cs="宋体" w:hint="eastAsia"/>
          <w:szCs w:val="21"/>
        </w:rPr>
        <w:t>年资产负债表平衡性校验差额情况。</w:t>
      </w:r>
    </w:p>
    <w:p w14:paraId="53790B26"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5F36235B" wp14:editId="3AF73E63">
            <wp:extent cx="5274310" cy="49530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0"/>
                    <a:stretch>
                      <a:fillRect/>
                    </a:stretch>
                  </pic:blipFill>
                  <pic:spPr>
                    <a:xfrm>
                      <a:off x="0" y="0"/>
                      <a:ext cx="5274310" cy="495300"/>
                    </a:xfrm>
                    <a:prstGeom prst="rect">
                      <a:avLst/>
                    </a:prstGeom>
                  </pic:spPr>
                </pic:pic>
              </a:graphicData>
            </a:graphic>
          </wp:inline>
        </w:drawing>
      </w:r>
    </w:p>
    <w:p w14:paraId="65AD9E93"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cs="Calibri"/>
          <w:b/>
          <w:bCs/>
          <w:kern w:val="0"/>
          <w:szCs w:val="21"/>
        </w:rPr>
        <w:t>3</w:t>
      </w:r>
      <w:r>
        <w:rPr>
          <w:rFonts w:ascii="宋体" w:eastAsia="宋体" w:hAnsi="宋体" w:cs="Calibri" w:hint="eastAsia"/>
          <w:b/>
          <w:bCs/>
          <w:kern w:val="0"/>
          <w:szCs w:val="21"/>
        </w:rPr>
        <w:t>、融资决策长期借款与租赁模块实验</w:t>
      </w:r>
    </w:p>
    <w:p w14:paraId="50A94B36"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b/>
          <w:bCs/>
          <w:kern w:val="0"/>
          <w:szCs w:val="21"/>
        </w:rPr>
        <w:t>（</w:t>
      </w:r>
      <w:r>
        <w:rPr>
          <w:rFonts w:ascii="宋体" w:eastAsia="宋体" w:hAnsi="宋体" w:cs="Calibri" w:hint="eastAsia"/>
          <w:b/>
          <w:bCs/>
          <w:kern w:val="0"/>
          <w:szCs w:val="21"/>
        </w:rPr>
        <w:t>1</w:t>
      </w:r>
      <w:r>
        <w:rPr>
          <w:rFonts w:ascii="宋体" w:eastAsia="宋体" w:hAnsi="宋体" w:cs="Calibri" w:hint="eastAsia"/>
          <w:b/>
          <w:bCs/>
          <w:kern w:val="0"/>
          <w:szCs w:val="21"/>
        </w:rPr>
        <w:t>）</w:t>
      </w:r>
      <w:r>
        <w:rPr>
          <w:rFonts w:ascii="宋体" w:eastAsia="宋体" w:hAnsi="宋体" w:hint="eastAsia"/>
          <w:szCs w:val="21"/>
        </w:rPr>
        <w:t>融资租赁现金流量测算</w:t>
      </w:r>
    </w:p>
    <w:p w14:paraId="09B74058"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w:t>
      </w:r>
      <w:r>
        <w:rPr>
          <w:rFonts w:ascii="宋体" w:eastAsia="宋体" w:hAnsi="宋体" w:cs="Calibri" w:hint="eastAsia"/>
          <w:kern w:val="0"/>
          <w:szCs w:val="21"/>
        </w:rPr>
        <w:t>&lt;</w:t>
      </w:r>
      <w:r>
        <w:rPr>
          <w:rFonts w:ascii="宋体" w:eastAsia="宋体" w:hAnsi="宋体" w:cs="Calibri" w:hint="eastAsia"/>
          <w:kern w:val="0"/>
          <w:szCs w:val="21"/>
        </w:rPr>
        <w:t>关于</w:t>
      </w:r>
      <w:r>
        <w:rPr>
          <w:rFonts w:ascii="宋体" w:eastAsia="宋体" w:hAnsi="宋体" w:cs="Calibri" w:hint="eastAsia"/>
          <w:kern w:val="0"/>
          <w:szCs w:val="21"/>
        </w:rPr>
        <w:t>AD6-11</w:t>
      </w:r>
      <w:r>
        <w:rPr>
          <w:rFonts w:ascii="宋体" w:eastAsia="宋体" w:hAnsi="宋体" w:cs="Calibri" w:hint="eastAsia"/>
          <w:kern w:val="0"/>
          <w:szCs w:val="21"/>
        </w:rPr>
        <w:t>号厂房租赁事项的谈判备忘</w:t>
      </w:r>
      <w:r>
        <w:rPr>
          <w:rFonts w:ascii="宋体" w:eastAsia="宋体" w:hAnsi="宋体" w:cs="Calibri" w:hint="eastAsia"/>
          <w:kern w:val="0"/>
          <w:szCs w:val="21"/>
        </w:rPr>
        <w:t>&gt;</w:t>
      </w:r>
      <w:r>
        <w:rPr>
          <w:rFonts w:ascii="宋体" w:eastAsia="宋体" w:hAnsi="宋体" w:cs="Calibri" w:hint="eastAsia"/>
          <w:kern w:val="0"/>
          <w:szCs w:val="21"/>
        </w:rPr>
        <w:t>提供信息填写融资租赁的初始信息，包括：“厂房租赁费”、“设备购买价格”、“租赁期限”等；</w:t>
      </w:r>
    </w:p>
    <w:p w14:paraId="562C2EC2"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3A213E1F" wp14:editId="28590328">
            <wp:extent cx="5274310" cy="3896995"/>
            <wp:effectExtent l="0" t="0" r="2540" b="825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1"/>
                    <a:stretch>
                      <a:fillRect/>
                    </a:stretch>
                  </pic:blipFill>
                  <pic:spPr>
                    <a:xfrm>
                      <a:off x="0" y="0"/>
                      <a:ext cx="5274310" cy="3896995"/>
                    </a:xfrm>
                    <a:prstGeom prst="rect">
                      <a:avLst/>
                    </a:prstGeom>
                  </pic:spPr>
                </pic:pic>
              </a:graphicData>
            </a:graphic>
          </wp:inline>
        </w:drawing>
      </w:r>
    </w:p>
    <w:p w14:paraId="780AAA8E"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设置租赁的内含利率指标为待求解指标，根据每期的税后现金流量</w:t>
      </w:r>
      <w:r>
        <w:rPr>
          <w:rFonts w:ascii="宋体" w:eastAsia="宋体" w:hAnsi="宋体" w:cs="Calibri" w:hint="eastAsia"/>
          <w:kern w:val="0"/>
          <w:szCs w:val="21"/>
        </w:rPr>
        <w:t>=</w:t>
      </w:r>
      <w:r>
        <w:rPr>
          <w:rFonts w:ascii="宋体" w:eastAsia="宋体" w:hAnsi="宋体" w:cs="Calibri" w:hint="eastAsia"/>
          <w:kern w:val="0"/>
          <w:szCs w:val="21"/>
        </w:rPr>
        <w:t>租赁费用</w:t>
      </w:r>
      <w:r>
        <w:rPr>
          <w:rFonts w:ascii="宋体" w:eastAsia="宋体" w:hAnsi="宋体" w:cs="Calibri" w:hint="eastAsia"/>
          <w:kern w:val="0"/>
          <w:szCs w:val="21"/>
        </w:rPr>
        <w:t>-</w:t>
      </w:r>
      <w:r>
        <w:rPr>
          <w:rFonts w:ascii="宋体" w:eastAsia="宋体" w:hAnsi="宋体" w:cs="Calibri" w:hint="eastAsia"/>
          <w:kern w:val="0"/>
          <w:szCs w:val="21"/>
        </w:rPr>
        <w:t>节税额度公式计算；</w:t>
      </w:r>
    </w:p>
    <w:p w14:paraId="4C3E00DF"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79DACB7A" wp14:editId="59BCFF21">
            <wp:extent cx="5274310" cy="1345565"/>
            <wp:effectExtent l="0" t="0" r="2540" b="698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2"/>
                    <a:stretch>
                      <a:fillRect/>
                    </a:stretch>
                  </pic:blipFill>
                  <pic:spPr>
                    <a:xfrm>
                      <a:off x="0" y="0"/>
                      <a:ext cx="5274310" cy="1345565"/>
                    </a:xfrm>
                    <a:prstGeom prst="rect">
                      <a:avLst/>
                    </a:prstGeom>
                  </pic:spPr>
                </pic:pic>
              </a:graphicData>
            </a:graphic>
          </wp:inline>
        </w:drawing>
      </w:r>
    </w:p>
    <w:p w14:paraId="01B44B73" w14:textId="77777777" w:rsidR="00C577D9" w:rsidRDefault="00C52813">
      <w:pPr>
        <w:widowControl/>
        <w:snapToGrid w:val="0"/>
        <w:spacing w:line="360" w:lineRule="auto"/>
        <w:rPr>
          <w:rFonts w:ascii="宋体" w:eastAsia="宋体" w:hAnsi="宋体" w:cs="宋体"/>
          <w:szCs w:val="21"/>
        </w:rPr>
      </w:pPr>
      <w:r>
        <w:rPr>
          <w:rFonts w:ascii="宋体" w:eastAsia="宋体" w:hAnsi="宋体" w:cs="宋体" w:hint="eastAsia"/>
          <w:szCs w:val="21"/>
        </w:rPr>
        <w:t>每期节税额度</w:t>
      </w:r>
      <w:r>
        <w:rPr>
          <w:rFonts w:ascii="宋体" w:eastAsia="宋体" w:hAnsi="宋体" w:cs="宋体" w:hint="eastAsia"/>
          <w:szCs w:val="21"/>
        </w:rPr>
        <w:t>=</w:t>
      </w:r>
      <w:r>
        <w:rPr>
          <w:rFonts w:ascii="宋体" w:eastAsia="宋体" w:hAnsi="宋体" w:cs="宋体" w:hint="eastAsia"/>
          <w:szCs w:val="21"/>
        </w:rPr>
        <w:t>（每期折旧额</w:t>
      </w:r>
      <w:r>
        <w:rPr>
          <w:rFonts w:ascii="宋体" w:eastAsia="宋体" w:hAnsi="宋体" w:cs="宋体" w:hint="eastAsia"/>
          <w:szCs w:val="21"/>
        </w:rPr>
        <w:t>+</w:t>
      </w:r>
      <w:r>
        <w:rPr>
          <w:rFonts w:ascii="宋体" w:eastAsia="宋体" w:hAnsi="宋体" w:cs="宋体" w:hint="eastAsia"/>
          <w:szCs w:val="21"/>
        </w:rPr>
        <w:t>每期应付</w:t>
      </w:r>
      <w:r>
        <w:rPr>
          <w:rFonts w:ascii="宋体" w:eastAsia="宋体" w:hAnsi="宋体" w:cs="宋体" w:hint="eastAsia"/>
          <w:szCs w:val="21"/>
        </w:rPr>
        <w:t>利息）</w:t>
      </w:r>
      <w:r>
        <w:rPr>
          <w:rFonts w:ascii="宋体" w:eastAsia="宋体" w:hAnsi="宋体" w:cs="宋体" w:hint="eastAsia"/>
          <w:szCs w:val="21"/>
        </w:rPr>
        <w:t xml:space="preserve">* </w:t>
      </w:r>
      <w:r>
        <w:rPr>
          <w:rFonts w:ascii="宋体" w:eastAsia="宋体" w:hAnsi="宋体" w:cs="宋体" w:hint="eastAsia"/>
          <w:szCs w:val="21"/>
        </w:rPr>
        <w:t>所得税率，其中每期折旧额</w:t>
      </w:r>
      <w:r>
        <w:rPr>
          <w:rFonts w:ascii="宋体" w:eastAsia="宋体" w:hAnsi="宋体" w:cs="宋体" w:hint="eastAsia"/>
          <w:szCs w:val="21"/>
        </w:rPr>
        <w:t>=</w:t>
      </w:r>
      <w:r>
        <w:rPr>
          <w:rFonts w:ascii="宋体" w:eastAsia="宋体" w:hAnsi="宋体" w:cs="宋体" w:hint="eastAsia"/>
          <w:szCs w:val="21"/>
        </w:rPr>
        <w:t>设备购买价格</w:t>
      </w:r>
      <w:r>
        <w:rPr>
          <w:rFonts w:ascii="宋体" w:eastAsia="宋体" w:hAnsi="宋体" w:cs="宋体" w:hint="eastAsia"/>
          <w:szCs w:val="21"/>
        </w:rPr>
        <w:t>/</w:t>
      </w:r>
      <w:r>
        <w:rPr>
          <w:rFonts w:ascii="宋体" w:eastAsia="宋体" w:hAnsi="宋体" w:cs="宋体" w:hint="eastAsia"/>
          <w:szCs w:val="21"/>
        </w:rPr>
        <w:t>租赁期限，应付利息</w:t>
      </w:r>
      <w:r>
        <w:rPr>
          <w:rFonts w:ascii="宋体" w:eastAsia="宋体" w:hAnsi="宋体" w:cs="宋体" w:hint="eastAsia"/>
          <w:szCs w:val="21"/>
        </w:rPr>
        <w:t>=</w:t>
      </w:r>
      <w:r>
        <w:rPr>
          <w:rFonts w:ascii="宋体" w:eastAsia="宋体" w:hAnsi="宋体" w:cs="宋体" w:hint="eastAsia"/>
          <w:szCs w:val="21"/>
        </w:rPr>
        <w:t>上期未付本金</w:t>
      </w:r>
      <w:r>
        <w:rPr>
          <w:rFonts w:ascii="宋体" w:eastAsia="宋体" w:hAnsi="宋体" w:cs="宋体" w:hint="eastAsia"/>
          <w:szCs w:val="21"/>
        </w:rPr>
        <w:t>*</w:t>
      </w:r>
      <w:r>
        <w:rPr>
          <w:rFonts w:ascii="宋体" w:eastAsia="宋体" w:hAnsi="宋体" w:cs="宋体" w:hint="eastAsia"/>
          <w:szCs w:val="21"/>
        </w:rPr>
        <w:t>内涵利率；</w:t>
      </w:r>
    </w:p>
    <w:p w14:paraId="7CBF257C"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42947FE9" wp14:editId="55FBEF33">
            <wp:extent cx="5274310" cy="1266825"/>
            <wp:effectExtent l="0" t="0" r="254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3"/>
                    <a:stretch>
                      <a:fillRect/>
                    </a:stretch>
                  </pic:blipFill>
                  <pic:spPr>
                    <a:xfrm>
                      <a:off x="0" y="0"/>
                      <a:ext cx="5274310" cy="1266825"/>
                    </a:xfrm>
                    <a:prstGeom prst="rect">
                      <a:avLst/>
                    </a:prstGeom>
                  </pic:spPr>
                </pic:pic>
              </a:graphicData>
            </a:graphic>
          </wp:inline>
        </w:drawing>
      </w:r>
    </w:p>
    <w:p w14:paraId="4C0DF46B"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使用</w:t>
      </w:r>
      <w:r>
        <w:rPr>
          <w:rFonts w:ascii="宋体" w:eastAsia="宋体" w:hAnsi="宋体" w:cs="Calibri" w:hint="eastAsia"/>
          <w:kern w:val="0"/>
          <w:szCs w:val="21"/>
        </w:rPr>
        <w:t>Excel</w:t>
      </w:r>
      <w:r>
        <w:rPr>
          <w:rFonts w:ascii="宋体" w:eastAsia="宋体" w:hAnsi="宋体" w:cs="Calibri" w:hint="eastAsia"/>
          <w:kern w:val="0"/>
          <w:szCs w:val="21"/>
        </w:rPr>
        <w:t>中“工具栏—数据—假设分析</w:t>
      </w:r>
      <w:r>
        <w:rPr>
          <w:rFonts w:ascii="宋体" w:eastAsia="宋体" w:hAnsi="宋体" w:cs="Calibri" w:hint="eastAsia"/>
          <w:kern w:val="0"/>
          <w:szCs w:val="21"/>
        </w:rPr>
        <w:t>-</w:t>
      </w:r>
      <w:r>
        <w:rPr>
          <w:rFonts w:ascii="宋体" w:eastAsia="宋体" w:hAnsi="宋体" w:cs="Calibri" w:hint="eastAsia"/>
          <w:kern w:val="0"/>
          <w:szCs w:val="21"/>
        </w:rPr>
        <w:t>单变量求解”</w:t>
      </w:r>
      <w:r>
        <w:rPr>
          <w:rFonts w:ascii="宋体" w:eastAsia="宋体" w:hAnsi="宋体" w:cs="Calibri" w:hint="eastAsia"/>
          <w:kern w:val="0"/>
          <w:szCs w:val="21"/>
        </w:rPr>
        <w:t xml:space="preserve"> </w:t>
      </w:r>
      <w:r>
        <w:rPr>
          <w:rFonts w:ascii="宋体" w:eastAsia="宋体" w:hAnsi="宋体" w:cs="Calibri" w:hint="eastAsia"/>
          <w:kern w:val="0"/>
          <w:szCs w:val="21"/>
        </w:rPr>
        <w:t>工具进行求解，设置目标单元格为最后一个支付租金期末的“未付本金”指标，目标值为</w:t>
      </w:r>
      <w:r>
        <w:rPr>
          <w:rFonts w:ascii="宋体" w:eastAsia="宋体" w:hAnsi="宋体" w:cs="Calibri" w:hint="eastAsia"/>
          <w:kern w:val="0"/>
          <w:szCs w:val="21"/>
        </w:rPr>
        <w:t>0</w:t>
      </w:r>
      <w:r>
        <w:rPr>
          <w:rFonts w:ascii="宋体" w:eastAsia="宋体" w:hAnsi="宋体" w:cs="Calibri" w:hint="eastAsia"/>
          <w:kern w:val="0"/>
          <w:szCs w:val="21"/>
        </w:rPr>
        <w:t>，来求解“租赁内含利率”；</w:t>
      </w:r>
    </w:p>
    <w:p w14:paraId="4E668CB4"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按照计算出的内含利率计算每期税后现金流量现值，然后进行求和得到“净现值”指标，或者使用</w:t>
      </w:r>
      <w:r>
        <w:rPr>
          <w:rFonts w:ascii="宋体" w:eastAsia="宋体" w:hAnsi="宋体" w:cs="Calibri" w:hint="eastAsia"/>
          <w:kern w:val="0"/>
          <w:szCs w:val="21"/>
        </w:rPr>
        <w:t>NPV</w:t>
      </w:r>
      <w:r>
        <w:rPr>
          <w:rFonts w:ascii="宋体" w:eastAsia="宋体" w:hAnsi="宋体" w:cs="Calibri" w:hint="eastAsia"/>
          <w:kern w:val="0"/>
          <w:szCs w:val="21"/>
        </w:rPr>
        <w:t>函数进行计算。</w:t>
      </w:r>
    </w:p>
    <w:p w14:paraId="4F30BB71"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3D146466" wp14:editId="525C73F9">
            <wp:extent cx="3543300" cy="762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4"/>
                    <a:stretch>
                      <a:fillRect/>
                    </a:stretch>
                  </pic:blipFill>
                  <pic:spPr>
                    <a:xfrm>
                      <a:off x="0" y="0"/>
                      <a:ext cx="3543300" cy="762000"/>
                    </a:xfrm>
                    <a:prstGeom prst="rect">
                      <a:avLst/>
                    </a:prstGeom>
                  </pic:spPr>
                </pic:pic>
              </a:graphicData>
            </a:graphic>
          </wp:inline>
        </w:drawing>
      </w:r>
    </w:p>
    <w:p w14:paraId="1B93C707"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b/>
          <w:bCs/>
          <w:kern w:val="0"/>
          <w:szCs w:val="21"/>
        </w:rPr>
        <w:t>（</w:t>
      </w:r>
      <w:r>
        <w:rPr>
          <w:rFonts w:ascii="宋体" w:eastAsia="宋体" w:hAnsi="宋体" w:cs="Calibri" w:hint="eastAsia"/>
          <w:b/>
          <w:bCs/>
          <w:kern w:val="0"/>
          <w:szCs w:val="21"/>
        </w:rPr>
        <w:t>2</w:t>
      </w:r>
      <w:r>
        <w:rPr>
          <w:rFonts w:ascii="宋体" w:eastAsia="宋体" w:hAnsi="宋体" w:cs="Calibri" w:hint="eastAsia"/>
          <w:b/>
          <w:bCs/>
          <w:kern w:val="0"/>
          <w:szCs w:val="21"/>
        </w:rPr>
        <w:t>）</w:t>
      </w:r>
      <w:r>
        <w:rPr>
          <w:rFonts w:ascii="宋体" w:eastAsia="宋体" w:hAnsi="宋体" w:hint="eastAsia"/>
          <w:szCs w:val="21"/>
        </w:rPr>
        <w:t>借款购买现金流量测算</w:t>
      </w:r>
    </w:p>
    <w:p w14:paraId="0F471D61"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w:t>
      </w:r>
      <w:r>
        <w:rPr>
          <w:rFonts w:ascii="宋体" w:eastAsia="宋体" w:hAnsi="宋体" w:cs="Calibri" w:hint="eastAsia"/>
          <w:kern w:val="0"/>
          <w:szCs w:val="21"/>
        </w:rPr>
        <w:t>&lt;</w:t>
      </w:r>
      <w:r>
        <w:rPr>
          <w:rFonts w:ascii="宋体" w:eastAsia="宋体" w:hAnsi="宋体" w:cs="Calibri" w:hint="eastAsia"/>
          <w:kern w:val="0"/>
          <w:szCs w:val="21"/>
        </w:rPr>
        <w:t>厂房租赁事项的谈判备忘</w:t>
      </w:r>
      <w:r>
        <w:rPr>
          <w:rFonts w:ascii="宋体" w:eastAsia="宋体" w:hAnsi="宋体" w:cs="Calibri" w:hint="eastAsia"/>
          <w:kern w:val="0"/>
          <w:szCs w:val="21"/>
        </w:rPr>
        <w:t>&gt;</w:t>
      </w:r>
      <w:r>
        <w:rPr>
          <w:rFonts w:ascii="宋体" w:eastAsia="宋体" w:hAnsi="宋体" w:cs="Calibri" w:hint="eastAsia"/>
          <w:kern w:val="0"/>
          <w:szCs w:val="21"/>
        </w:rPr>
        <w:t>提供信息填写融资租赁的初始信息，包括：厂房租赁费、设备购买价格、租赁期限等，另按照借款计划自行设置借款期限；</w:t>
      </w:r>
    </w:p>
    <w:p w14:paraId="363ED0CE"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3FD9E5E8" wp14:editId="2555D5F1">
            <wp:extent cx="5274310" cy="4715510"/>
            <wp:effectExtent l="0" t="0" r="2540" b="889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5"/>
                    <a:stretch>
                      <a:fillRect/>
                    </a:stretch>
                  </pic:blipFill>
                  <pic:spPr>
                    <a:xfrm>
                      <a:off x="0" y="0"/>
                      <a:ext cx="5274310" cy="4715510"/>
                    </a:xfrm>
                    <a:prstGeom prst="rect">
                      <a:avLst/>
                    </a:prstGeom>
                  </pic:spPr>
                </pic:pic>
              </a:graphicData>
            </a:graphic>
          </wp:inline>
        </w:drawing>
      </w:r>
    </w:p>
    <w:p w14:paraId="22DD3C04"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根据计划借款计划，计算借款期的“应付利息”及“应付本金”，应付利息</w:t>
      </w:r>
      <w:r>
        <w:rPr>
          <w:rFonts w:ascii="宋体" w:eastAsia="宋体" w:hAnsi="宋体" w:cs="Calibri" w:hint="eastAsia"/>
          <w:kern w:val="0"/>
          <w:szCs w:val="21"/>
        </w:rPr>
        <w:t>=</w:t>
      </w:r>
      <w:r>
        <w:rPr>
          <w:rFonts w:ascii="宋体" w:eastAsia="宋体" w:hAnsi="宋体" w:cs="Calibri" w:hint="eastAsia"/>
          <w:kern w:val="0"/>
          <w:szCs w:val="21"/>
        </w:rPr>
        <w:t>借款总额</w:t>
      </w:r>
      <w:r>
        <w:rPr>
          <w:rFonts w:ascii="宋体" w:eastAsia="宋体" w:hAnsi="宋体" w:cs="Calibri" w:hint="eastAsia"/>
          <w:kern w:val="0"/>
          <w:szCs w:val="21"/>
        </w:rPr>
        <w:t>*</w:t>
      </w:r>
      <w:r>
        <w:rPr>
          <w:rFonts w:ascii="宋体" w:eastAsia="宋体" w:hAnsi="宋体" w:cs="Calibri" w:hint="eastAsia"/>
          <w:kern w:val="0"/>
          <w:szCs w:val="21"/>
        </w:rPr>
        <w:t>借款利率；</w:t>
      </w:r>
      <w:r>
        <w:rPr>
          <w:rFonts w:ascii="宋体" w:eastAsia="宋体" w:hAnsi="宋体" w:cs="Calibri" w:hint="eastAsia"/>
          <w:kern w:val="0"/>
          <w:szCs w:val="21"/>
        </w:rPr>
        <w:t xml:space="preserve">   </w:t>
      </w:r>
    </w:p>
    <w:p w14:paraId="1C541C61"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根据公式计算：每期的税后现金流</w:t>
      </w:r>
      <w:r>
        <w:rPr>
          <w:rFonts w:ascii="宋体" w:eastAsia="宋体" w:hAnsi="宋体" w:cs="Calibri" w:hint="eastAsia"/>
          <w:kern w:val="0"/>
          <w:szCs w:val="21"/>
        </w:rPr>
        <w:t>=</w:t>
      </w:r>
      <w:r>
        <w:rPr>
          <w:rFonts w:ascii="宋体" w:eastAsia="宋体" w:hAnsi="宋体" w:cs="Calibri" w:hint="eastAsia"/>
          <w:kern w:val="0"/>
          <w:szCs w:val="21"/>
        </w:rPr>
        <w:t>应付利息</w:t>
      </w:r>
      <w:r>
        <w:rPr>
          <w:rFonts w:ascii="宋体" w:eastAsia="宋体" w:hAnsi="宋体" w:cs="Calibri" w:hint="eastAsia"/>
          <w:kern w:val="0"/>
          <w:szCs w:val="21"/>
        </w:rPr>
        <w:t>+</w:t>
      </w:r>
      <w:r>
        <w:rPr>
          <w:rFonts w:ascii="宋体" w:eastAsia="宋体" w:hAnsi="宋体" w:cs="Calibri" w:hint="eastAsia"/>
          <w:kern w:val="0"/>
          <w:szCs w:val="21"/>
        </w:rPr>
        <w:t>应付本金</w:t>
      </w:r>
      <w:r>
        <w:rPr>
          <w:rFonts w:ascii="宋体" w:eastAsia="宋体" w:hAnsi="宋体" w:cs="Calibri" w:hint="eastAsia"/>
          <w:kern w:val="0"/>
          <w:szCs w:val="21"/>
        </w:rPr>
        <w:t>-</w:t>
      </w:r>
      <w:r>
        <w:rPr>
          <w:rFonts w:ascii="宋体" w:eastAsia="宋体" w:hAnsi="宋体" w:cs="Calibri" w:hint="eastAsia"/>
          <w:kern w:val="0"/>
          <w:szCs w:val="21"/>
        </w:rPr>
        <w:t>节税额度；</w:t>
      </w:r>
    </w:p>
    <w:p w14:paraId="61D16E2F"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其中：每期节税额度</w:t>
      </w:r>
      <w:r>
        <w:rPr>
          <w:rFonts w:ascii="宋体" w:eastAsia="宋体" w:hAnsi="宋体" w:cs="Calibri" w:hint="eastAsia"/>
          <w:kern w:val="0"/>
          <w:szCs w:val="21"/>
        </w:rPr>
        <w:t>=</w:t>
      </w:r>
      <w:r>
        <w:rPr>
          <w:rFonts w:ascii="宋体" w:eastAsia="宋体" w:hAnsi="宋体" w:cs="Calibri" w:hint="eastAsia"/>
          <w:kern w:val="0"/>
          <w:szCs w:val="21"/>
        </w:rPr>
        <w:t>（每期折旧额</w:t>
      </w:r>
      <w:r>
        <w:rPr>
          <w:rFonts w:ascii="宋体" w:eastAsia="宋体" w:hAnsi="宋体" w:cs="Calibri" w:hint="eastAsia"/>
          <w:kern w:val="0"/>
          <w:szCs w:val="21"/>
        </w:rPr>
        <w:t>+</w:t>
      </w:r>
      <w:r>
        <w:rPr>
          <w:rFonts w:ascii="宋体" w:eastAsia="宋体" w:hAnsi="宋体" w:cs="Calibri" w:hint="eastAsia"/>
          <w:kern w:val="0"/>
          <w:szCs w:val="21"/>
        </w:rPr>
        <w:t>每期应付利息）</w:t>
      </w:r>
      <w:r>
        <w:rPr>
          <w:rFonts w:ascii="宋体" w:eastAsia="宋体" w:hAnsi="宋体" w:cs="Calibri" w:hint="eastAsia"/>
          <w:kern w:val="0"/>
          <w:szCs w:val="21"/>
        </w:rPr>
        <w:t xml:space="preserve">* </w:t>
      </w:r>
      <w:r>
        <w:rPr>
          <w:rFonts w:ascii="宋体" w:eastAsia="宋体" w:hAnsi="宋体" w:cs="Calibri" w:hint="eastAsia"/>
          <w:kern w:val="0"/>
          <w:szCs w:val="21"/>
        </w:rPr>
        <w:t>所得税率，其中每期折旧额</w:t>
      </w:r>
      <w:r>
        <w:rPr>
          <w:rFonts w:ascii="宋体" w:eastAsia="宋体" w:hAnsi="宋体" w:cs="Calibri" w:hint="eastAsia"/>
          <w:kern w:val="0"/>
          <w:szCs w:val="21"/>
        </w:rPr>
        <w:t>=</w:t>
      </w:r>
      <w:r>
        <w:rPr>
          <w:rFonts w:ascii="宋体" w:eastAsia="宋体" w:hAnsi="宋体" w:cs="Calibri" w:hint="eastAsia"/>
          <w:kern w:val="0"/>
          <w:szCs w:val="21"/>
        </w:rPr>
        <w:t>设备购买价格</w:t>
      </w:r>
      <w:r>
        <w:rPr>
          <w:rFonts w:ascii="宋体" w:eastAsia="宋体" w:hAnsi="宋体" w:cs="Calibri" w:hint="eastAsia"/>
          <w:kern w:val="0"/>
          <w:szCs w:val="21"/>
        </w:rPr>
        <w:t>/</w:t>
      </w:r>
      <w:r>
        <w:rPr>
          <w:rFonts w:ascii="宋体" w:eastAsia="宋体" w:hAnsi="宋体" w:cs="Calibri" w:hint="eastAsia"/>
          <w:kern w:val="0"/>
          <w:szCs w:val="21"/>
        </w:rPr>
        <w:t>设备使用期限，应付利息</w:t>
      </w:r>
      <w:r>
        <w:rPr>
          <w:rFonts w:ascii="宋体" w:eastAsia="宋体" w:hAnsi="宋体" w:cs="Calibri" w:hint="eastAsia"/>
          <w:kern w:val="0"/>
          <w:szCs w:val="21"/>
        </w:rPr>
        <w:t>=</w:t>
      </w:r>
      <w:r>
        <w:rPr>
          <w:rFonts w:ascii="宋体" w:eastAsia="宋体" w:hAnsi="宋体" w:cs="Calibri" w:hint="eastAsia"/>
          <w:kern w:val="0"/>
          <w:szCs w:val="21"/>
        </w:rPr>
        <w:t>借款总额</w:t>
      </w:r>
      <w:r>
        <w:rPr>
          <w:rFonts w:ascii="宋体" w:eastAsia="宋体" w:hAnsi="宋体" w:cs="Calibri" w:hint="eastAsia"/>
          <w:kern w:val="0"/>
          <w:szCs w:val="21"/>
        </w:rPr>
        <w:t>*</w:t>
      </w:r>
      <w:r>
        <w:rPr>
          <w:rFonts w:ascii="宋体" w:eastAsia="宋体" w:hAnsi="宋体" w:cs="Calibri" w:hint="eastAsia"/>
          <w:kern w:val="0"/>
          <w:szCs w:val="21"/>
        </w:rPr>
        <w:t>借款利率；</w:t>
      </w:r>
    </w:p>
    <w:p w14:paraId="3A7CDCB6"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68FD3E2A" wp14:editId="5646B343">
            <wp:extent cx="5274310" cy="1060450"/>
            <wp:effectExtent l="0" t="0" r="2540" b="635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6"/>
                    <a:stretch>
                      <a:fillRect/>
                    </a:stretch>
                  </pic:blipFill>
                  <pic:spPr>
                    <a:xfrm>
                      <a:off x="0" y="0"/>
                      <a:ext cx="5274310" cy="1060450"/>
                    </a:xfrm>
                    <a:prstGeom prst="rect">
                      <a:avLst/>
                    </a:prstGeom>
                  </pic:spPr>
                </pic:pic>
              </a:graphicData>
            </a:graphic>
          </wp:inline>
        </w:drawing>
      </w:r>
    </w:p>
    <w:p w14:paraId="632C1193"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hint="eastAsia"/>
          <w:szCs w:val="21"/>
        </w:rPr>
        <w:lastRenderedPageBreak/>
        <w:t>使用税后借款利率作为折现率，计算每期</w:t>
      </w:r>
      <w:r>
        <w:rPr>
          <w:rFonts w:ascii="宋体" w:eastAsia="宋体" w:hAnsi="宋体" w:hint="eastAsia"/>
          <w:szCs w:val="21"/>
        </w:rPr>
        <w:t xml:space="preserve"> </w:t>
      </w:r>
      <w:r>
        <w:rPr>
          <w:rFonts w:ascii="宋体" w:eastAsia="宋体" w:hAnsi="宋体" w:hint="eastAsia"/>
          <w:szCs w:val="21"/>
        </w:rPr>
        <w:t>“税后现金流现值”，然后进行</w:t>
      </w:r>
      <w:r>
        <w:rPr>
          <w:rFonts w:ascii="宋体" w:eastAsia="宋体" w:hAnsi="宋体" w:hint="eastAsia"/>
          <w:szCs w:val="21"/>
        </w:rPr>
        <w:t>求和得到“净现值”指标</w:t>
      </w:r>
    </w:p>
    <w:p w14:paraId="2CAB1DFA"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715801A8" wp14:editId="58446E95">
            <wp:extent cx="5274310" cy="1433830"/>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7"/>
                    <a:stretch>
                      <a:fillRect/>
                    </a:stretch>
                  </pic:blipFill>
                  <pic:spPr>
                    <a:xfrm>
                      <a:off x="0" y="0"/>
                      <a:ext cx="5274310" cy="1433830"/>
                    </a:xfrm>
                    <a:prstGeom prst="rect">
                      <a:avLst/>
                    </a:prstGeom>
                  </pic:spPr>
                </pic:pic>
              </a:graphicData>
            </a:graphic>
          </wp:inline>
        </w:drawing>
      </w:r>
    </w:p>
    <w:p w14:paraId="3BA9D70A"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b/>
          <w:bCs/>
          <w:kern w:val="0"/>
          <w:szCs w:val="21"/>
        </w:rPr>
        <w:t>（</w:t>
      </w:r>
      <w:r>
        <w:rPr>
          <w:rFonts w:ascii="宋体" w:eastAsia="宋体" w:hAnsi="宋体" w:cs="Calibri" w:hint="eastAsia"/>
          <w:b/>
          <w:bCs/>
          <w:kern w:val="0"/>
          <w:szCs w:val="21"/>
        </w:rPr>
        <w:t>3</w:t>
      </w:r>
      <w:r>
        <w:rPr>
          <w:rFonts w:ascii="宋体" w:eastAsia="宋体" w:hAnsi="宋体" w:cs="Calibri" w:hint="eastAsia"/>
          <w:b/>
          <w:bCs/>
          <w:kern w:val="0"/>
          <w:szCs w:val="21"/>
        </w:rPr>
        <w:t>）</w:t>
      </w:r>
      <w:r>
        <w:rPr>
          <w:rFonts w:ascii="宋体" w:eastAsia="宋体" w:hAnsi="宋体" w:hint="eastAsia"/>
          <w:szCs w:val="21"/>
        </w:rPr>
        <w:t>经营租赁现金流量测算</w:t>
      </w:r>
    </w:p>
    <w:p w14:paraId="7DAB5E97"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w:t>
      </w:r>
      <w:r>
        <w:rPr>
          <w:rFonts w:ascii="宋体" w:eastAsia="宋体" w:hAnsi="宋体" w:cs="Calibri" w:hint="eastAsia"/>
          <w:kern w:val="0"/>
          <w:szCs w:val="21"/>
        </w:rPr>
        <w:t>&lt;</w:t>
      </w:r>
      <w:r>
        <w:rPr>
          <w:rFonts w:ascii="宋体" w:eastAsia="宋体" w:hAnsi="宋体" w:cs="Calibri" w:hint="eastAsia"/>
          <w:kern w:val="0"/>
          <w:szCs w:val="21"/>
        </w:rPr>
        <w:t>厂房租赁事项的谈判备忘</w:t>
      </w:r>
      <w:r>
        <w:rPr>
          <w:rFonts w:ascii="宋体" w:eastAsia="宋体" w:hAnsi="宋体" w:cs="Calibri" w:hint="eastAsia"/>
          <w:kern w:val="0"/>
          <w:szCs w:val="21"/>
        </w:rPr>
        <w:t>&gt;</w:t>
      </w:r>
      <w:r>
        <w:rPr>
          <w:rFonts w:ascii="宋体" w:eastAsia="宋体" w:hAnsi="宋体" w:cs="Calibri" w:hint="eastAsia"/>
          <w:kern w:val="0"/>
          <w:szCs w:val="21"/>
        </w:rPr>
        <w:t>提供信息填写融资租赁的初始信息；</w:t>
      </w:r>
    </w:p>
    <w:p w14:paraId="3258BD65"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54534157" wp14:editId="18FE8013">
            <wp:extent cx="5274310" cy="3482975"/>
            <wp:effectExtent l="0" t="0" r="2540" b="317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8"/>
                    <a:stretch>
                      <a:fillRect/>
                    </a:stretch>
                  </pic:blipFill>
                  <pic:spPr>
                    <a:xfrm>
                      <a:off x="0" y="0"/>
                      <a:ext cx="5274310" cy="3482975"/>
                    </a:xfrm>
                    <a:prstGeom prst="rect">
                      <a:avLst/>
                    </a:prstGeom>
                  </pic:spPr>
                </pic:pic>
              </a:graphicData>
            </a:graphic>
          </wp:inline>
        </w:drawing>
      </w:r>
    </w:p>
    <w:p w14:paraId="11668CF5"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根据公式计算：税后现金流量</w:t>
      </w:r>
      <w:r>
        <w:rPr>
          <w:rFonts w:ascii="宋体" w:eastAsia="宋体" w:hAnsi="宋体" w:cs="Calibri" w:hint="eastAsia"/>
          <w:kern w:val="0"/>
          <w:szCs w:val="21"/>
        </w:rPr>
        <w:t>=</w:t>
      </w:r>
      <w:r>
        <w:rPr>
          <w:rFonts w:ascii="宋体" w:eastAsia="宋体" w:hAnsi="宋体" w:cs="Calibri" w:hint="eastAsia"/>
          <w:kern w:val="0"/>
          <w:szCs w:val="21"/>
        </w:rPr>
        <w:t>租赁费用</w:t>
      </w:r>
      <w:r>
        <w:rPr>
          <w:rFonts w:ascii="宋体" w:eastAsia="宋体" w:hAnsi="宋体" w:cs="Calibri" w:hint="eastAsia"/>
          <w:kern w:val="0"/>
          <w:szCs w:val="21"/>
        </w:rPr>
        <w:t>-</w:t>
      </w:r>
      <w:r>
        <w:rPr>
          <w:rFonts w:ascii="宋体" w:eastAsia="宋体" w:hAnsi="宋体" w:cs="Calibri" w:hint="eastAsia"/>
          <w:kern w:val="0"/>
          <w:szCs w:val="21"/>
        </w:rPr>
        <w:t>节税额度</w:t>
      </w:r>
      <w:r>
        <w:rPr>
          <w:rFonts w:ascii="宋体" w:eastAsia="宋体" w:hAnsi="宋体" w:cs="Calibri" w:hint="eastAsia"/>
          <w:kern w:val="0"/>
          <w:szCs w:val="21"/>
        </w:rPr>
        <w:t>-</w:t>
      </w:r>
      <w:r>
        <w:rPr>
          <w:rFonts w:ascii="宋体" w:eastAsia="宋体" w:hAnsi="宋体" w:cs="Calibri" w:hint="eastAsia"/>
          <w:kern w:val="0"/>
          <w:szCs w:val="21"/>
        </w:rPr>
        <w:t>节约设备维护保养费；</w:t>
      </w:r>
    </w:p>
    <w:p w14:paraId="263A4E80" w14:textId="77777777" w:rsidR="00C577D9" w:rsidRDefault="00C52813">
      <w:pPr>
        <w:widowControl/>
        <w:snapToGrid w:val="0"/>
        <w:spacing w:line="360" w:lineRule="auto"/>
        <w:ind w:left="284"/>
        <w:rPr>
          <w:rFonts w:ascii="宋体" w:eastAsia="宋体" w:hAnsi="宋体" w:cs="Calibri"/>
          <w:kern w:val="0"/>
          <w:szCs w:val="21"/>
        </w:rPr>
      </w:pPr>
      <w:r>
        <w:rPr>
          <w:rFonts w:ascii="宋体" w:eastAsia="宋体" w:hAnsi="宋体" w:cs="Calibri" w:hint="eastAsia"/>
          <w:kern w:val="0"/>
          <w:szCs w:val="21"/>
        </w:rPr>
        <w:t>每期节税额度</w:t>
      </w:r>
      <w:r>
        <w:rPr>
          <w:rFonts w:ascii="宋体" w:eastAsia="宋体" w:hAnsi="宋体" w:cs="Calibri" w:hint="eastAsia"/>
          <w:kern w:val="0"/>
          <w:szCs w:val="21"/>
        </w:rPr>
        <w:t>=</w:t>
      </w:r>
      <w:r>
        <w:rPr>
          <w:rFonts w:ascii="宋体" w:eastAsia="宋体" w:hAnsi="宋体" w:cs="Calibri" w:hint="eastAsia"/>
          <w:kern w:val="0"/>
          <w:szCs w:val="21"/>
        </w:rPr>
        <w:t>租赁费用</w:t>
      </w:r>
      <w:r>
        <w:rPr>
          <w:rFonts w:ascii="宋体" w:eastAsia="宋体" w:hAnsi="宋体" w:cs="Calibri" w:hint="eastAsia"/>
          <w:kern w:val="0"/>
          <w:szCs w:val="21"/>
        </w:rPr>
        <w:t>*</w:t>
      </w:r>
      <w:r>
        <w:rPr>
          <w:rFonts w:ascii="宋体" w:eastAsia="宋体" w:hAnsi="宋体" w:cs="Calibri" w:hint="eastAsia"/>
          <w:kern w:val="0"/>
          <w:szCs w:val="21"/>
        </w:rPr>
        <w:t>所得税率；</w:t>
      </w:r>
    </w:p>
    <w:p w14:paraId="25E24085"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768407BB" wp14:editId="42297EEE">
            <wp:extent cx="5274310" cy="97345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99"/>
                    <a:stretch>
                      <a:fillRect/>
                    </a:stretch>
                  </pic:blipFill>
                  <pic:spPr>
                    <a:xfrm>
                      <a:off x="0" y="0"/>
                      <a:ext cx="5274310" cy="973455"/>
                    </a:xfrm>
                    <a:prstGeom prst="rect">
                      <a:avLst/>
                    </a:prstGeom>
                  </pic:spPr>
                </pic:pic>
              </a:graphicData>
            </a:graphic>
          </wp:inline>
        </w:drawing>
      </w:r>
    </w:p>
    <w:p w14:paraId="73D1F4BF" w14:textId="77777777" w:rsidR="00C577D9" w:rsidRDefault="00C52813">
      <w:pPr>
        <w:widowControl/>
        <w:snapToGrid w:val="0"/>
        <w:spacing w:line="360" w:lineRule="auto"/>
        <w:ind w:left="284"/>
        <w:rPr>
          <w:rFonts w:ascii="Calibri" w:eastAsia="宋体" w:hAnsi="Calibri" w:cs="Calibri"/>
          <w:kern w:val="0"/>
          <w:szCs w:val="21"/>
        </w:rPr>
      </w:pPr>
      <w:r>
        <w:rPr>
          <w:rFonts w:ascii="宋体" w:eastAsia="宋体" w:hAnsi="宋体" w:cs="Calibri" w:hint="eastAsia"/>
          <w:kern w:val="0"/>
          <w:szCs w:val="21"/>
        </w:rPr>
        <w:t>使用税后借款利率作为折现率，计算每期税后现金流现值，然后进行求和得到净现值指标；</w:t>
      </w:r>
    </w:p>
    <w:p w14:paraId="58A739B3" w14:textId="77777777" w:rsidR="00C577D9" w:rsidRDefault="00C52813">
      <w:pPr>
        <w:widowControl/>
        <w:snapToGrid w:val="0"/>
        <w:spacing w:line="360" w:lineRule="auto"/>
        <w:rPr>
          <w:rFonts w:ascii="宋体" w:eastAsia="宋体" w:hAnsi="宋体" w:cs="Calibri"/>
          <w:b/>
          <w:bCs/>
          <w:kern w:val="0"/>
          <w:szCs w:val="21"/>
        </w:rPr>
      </w:pPr>
      <w:r>
        <w:rPr>
          <w:noProof/>
        </w:rPr>
        <w:lastRenderedPageBreak/>
        <w:drawing>
          <wp:inline distT="0" distB="0" distL="0" distR="0" wp14:anchorId="4CF73CD0" wp14:editId="43E4D4EC">
            <wp:extent cx="5274310" cy="131635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0"/>
                    <a:stretch>
                      <a:fillRect/>
                    </a:stretch>
                  </pic:blipFill>
                  <pic:spPr>
                    <a:xfrm>
                      <a:off x="0" y="0"/>
                      <a:ext cx="5274310" cy="1316355"/>
                    </a:xfrm>
                    <a:prstGeom prst="rect">
                      <a:avLst/>
                    </a:prstGeom>
                  </pic:spPr>
                </pic:pic>
              </a:graphicData>
            </a:graphic>
          </wp:inline>
        </w:drawing>
      </w:r>
    </w:p>
    <w:p w14:paraId="225D5AAD"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cs="Calibri"/>
          <w:b/>
          <w:bCs/>
          <w:kern w:val="0"/>
          <w:szCs w:val="21"/>
        </w:rPr>
        <w:t>4</w:t>
      </w:r>
      <w:r>
        <w:rPr>
          <w:rFonts w:ascii="宋体" w:eastAsia="宋体" w:hAnsi="宋体" w:cs="Calibri" w:hint="eastAsia"/>
          <w:b/>
          <w:bCs/>
          <w:kern w:val="0"/>
          <w:szCs w:val="21"/>
        </w:rPr>
        <w:t>、融资决策资本结构模块实验</w:t>
      </w:r>
    </w:p>
    <w:p w14:paraId="726C5FBC"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w:t>
      </w:r>
      <w:r>
        <w:rPr>
          <w:rFonts w:ascii="宋体" w:eastAsia="宋体" w:hAnsi="宋体" w:hint="eastAsia"/>
          <w:szCs w:val="21"/>
        </w:rPr>
        <w:t>1</w:t>
      </w:r>
      <w:r>
        <w:rPr>
          <w:rFonts w:ascii="宋体" w:eastAsia="宋体" w:hAnsi="宋体" w:hint="eastAsia"/>
          <w:szCs w:val="21"/>
        </w:rPr>
        <w:t>）资本结构与资本成本</w:t>
      </w:r>
    </w:p>
    <w:p w14:paraId="42A194AD"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获取基础财务数据：根据</w:t>
      </w:r>
      <w:r>
        <w:rPr>
          <w:rFonts w:ascii="宋体" w:eastAsia="宋体" w:hAnsi="宋体" w:hint="eastAsia"/>
          <w:szCs w:val="21"/>
        </w:rPr>
        <w:t>&lt;2016</w:t>
      </w:r>
      <w:r>
        <w:rPr>
          <w:rFonts w:ascii="宋体" w:eastAsia="宋体" w:hAnsi="宋体" w:hint="eastAsia"/>
          <w:szCs w:val="21"/>
        </w:rPr>
        <w:t>年长城实业资本结构统计</w:t>
      </w:r>
      <w:r>
        <w:rPr>
          <w:rFonts w:ascii="宋体" w:eastAsia="宋体" w:hAnsi="宋体" w:hint="eastAsia"/>
          <w:szCs w:val="21"/>
        </w:rPr>
        <w:t>&gt;</w:t>
      </w:r>
      <w:r>
        <w:rPr>
          <w:rFonts w:ascii="宋体" w:eastAsia="宋体" w:hAnsi="宋体" w:hint="eastAsia"/>
          <w:szCs w:val="21"/>
        </w:rPr>
        <w:t>中数据填写“债务资金成本”、“权益资金成本”指标；</w:t>
      </w:r>
    </w:p>
    <w:p w14:paraId="4BD1818C"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drawing>
          <wp:inline distT="0" distB="0" distL="0" distR="0" wp14:anchorId="3CC94803" wp14:editId="10DC729C">
            <wp:extent cx="5274310" cy="3300730"/>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1"/>
                    <a:stretch>
                      <a:fillRect/>
                    </a:stretch>
                  </pic:blipFill>
                  <pic:spPr>
                    <a:xfrm>
                      <a:off x="0" y="0"/>
                      <a:ext cx="5274310" cy="3300730"/>
                    </a:xfrm>
                    <a:prstGeom prst="rect">
                      <a:avLst/>
                    </a:prstGeom>
                  </pic:spPr>
                </pic:pic>
              </a:graphicData>
            </a:graphic>
          </wp:inline>
        </w:drawing>
      </w:r>
    </w:p>
    <w:p w14:paraId="3F63A363"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调节产权比例，观察资本结构对资本成本的影响。</w:t>
      </w:r>
    </w:p>
    <w:p w14:paraId="6C7FEA66"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74258424" wp14:editId="5E4B3F21">
            <wp:extent cx="5274310" cy="314833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2"/>
                    <a:stretch>
                      <a:fillRect/>
                    </a:stretch>
                  </pic:blipFill>
                  <pic:spPr>
                    <a:xfrm>
                      <a:off x="0" y="0"/>
                      <a:ext cx="5274310" cy="3148330"/>
                    </a:xfrm>
                    <a:prstGeom prst="rect">
                      <a:avLst/>
                    </a:prstGeom>
                  </pic:spPr>
                </pic:pic>
              </a:graphicData>
            </a:graphic>
          </wp:inline>
        </w:drawing>
      </w:r>
    </w:p>
    <w:p w14:paraId="0250384E" w14:textId="77777777" w:rsidR="00C577D9" w:rsidRDefault="00C52813">
      <w:pPr>
        <w:widowControl/>
        <w:snapToGrid w:val="0"/>
        <w:spacing w:line="360" w:lineRule="auto"/>
        <w:rPr>
          <w:rFonts w:ascii="宋体" w:eastAsia="宋体" w:hAnsi="宋体"/>
          <w:szCs w:val="21"/>
        </w:rPr>
      </w:pPr>
      <w:r>
        <w:rPr>
          <w:rFonts w:ascii="宋体" w:eastAsia="宋体" w:hAnsi="宋体" w:cs="Calibri" w:hint="eastAsia"/>
          <w:b/>
          <w:bCs/>
          <w:kern w:val="0"/>
          <w:szCs w:val="21"/>
        </w:rPr>
        <w:t>（</w:t>
      </w:r>
      <w:r>
        <w:rPr>
          <w:rFonts w:ascii="宋体" w:eastAsia="宋体" w:hAnsi="宋体" w:cs="Calibri" w:hint="eastAsia"/>
          <w:b/>
          <w:bCs/>
          <w:kern w:val="0"/>
          <w:szCs w:val="21"/>
        </w:rPr>
        <w:t>2</w:t>
      </w:r>
      <w:r>
        <w:rPr>
          <w:rFonts w:ascii="宋体" w:eastAsia="宋体" w:hAnsi="宋体" w:cs="Calibri" w:hint="eastAsia"/>
          <w:b/>
          <w:bCs/>
          <w:kern w:val="0"/>
          <w:szCs w:val="21"/>
        </w:rPr>
        <w:t>）</w:t>
      </w:r>
      <w:r>
        <w:rPr>
          <w:rFonts w:ascii="宋体" w:eastAsia="宋体" w:hAnsi="宋体" w:hint="eastAsia"/>
          <w:szCs w:val="21"/>
        </w:rPr>
        <w:t>资本结构的无差点分析</w:t>
      </w:r>
    </w:p>
    <w:p w14:paraId="5A8CB584"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根据</w:t>
      </w:r>
      <w:r>
        <w:rPr>
          <w:rFonts w:ascii="宋体" w:eastAsia="宋体" w:hAnsi="宋体" w:hint="eastAsia"/>
          <w:szCs w:val="21"/>
        </w:rPr>
        <w:t>&lt;2016</w:t>
      </w:r>
      <w:r>
        <w:rPr>
          <w:rFonts w:ascii="宋体" w:eastAsia="宋体" w:hAnsi="宋体" w:hint="eastAsia"/>
          <w:szCs w:val="21"/>
        </w:rPr>
        <w:t>年</w:t>
      </w:r>
      <w:r>
        <w:rPr>
          <w:rFonts w:ascii="宋体" w:eastAsia="宋体" w:hAnsi="宋体" w:hint="eastAsia"/>
          <w:szCs w:val="21"/>
        </w:rPr>
        <w:t xml:space="preserve"> </w:t>
      </w:r>
      <w:r>
        <w:rPr>
          <w:rFonts w:ascii="宋体" w:eastAsia="宋体" w:hAnsi="宋体" w:hint="eastAsia"/>
          <w:szCs w:val="21"/>
        </w:rPr>
        <w:t>部分报表项目金额</w:t>
      </w:r>
      <w:r>
        <w:rPr>
          <w:rFonts w:ascii="宋体" w:eastAsia="宋体" w:hAnsi="宋体" w:hint="eastAsia"/>
          <w:szCs w:val="21"/>
        </w:rPr>
        <w:t>&gt;</w:t>
      </w:r>
      <w:r>
        <w:rPr>
          <w:rFonts w:ascii="宋体" w:eastAsia="宋体" w:hAnsi="宋体" w:hint="eastAsia"/>
          <w:szCs w:val="21"/>
        </w:rPr>
        <w:t>录入各报表项目的金额；</w:t>
      </w:r>
    </w:p>
    <w:p w14:paraId="631C7719" w14:textId="77777777" w:rsidR="00C577D9" w:rsidRDefault="00C52813">
      <w:pPr>
        <w:widowControl/>
        <w:snapToGrid w:val="0"/>
        <w:spacing w:line="360" w:lineRule="auto"/>
        <w:rPr>
          <w:rFonts w:ascii="宋体" w:eastAsia="宋体" w:hAnsi="宋体" w:cs="Calibri"/>
          <w:b/>
          <w:bCs/>
          <w:kern w:val="0"/>
          <w:szCs w:val="21"/>
        </w:rPr>
      </w:pPr>
      <w:r>
        <w:rPr>
          <w:rFonts w:ascii="宋体" w:eastAsia="宋体" w:hAnsi="宋体"/>
          <w:noProof/>
          <w:szCs w:val="21"/>
        </w:rPr>
        <w:lastRenderedPageBreak/>
        <w:drawing>
          <wp:inline distT="0" distB="0" distL="0" distR="0" wp14:anchorId="07C1BE1E" wp14:editId="2EA7324E">
            <wp:extent cx="5274310" cy="6247130"/>
            <wp:effectExtent l="0" t="0" r="2540" b="127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3"/>
                    <a:stretch>
                      <a:fillRect/>
                    </a:stretch>
                  </pic:blipFill>
                  <pic:spPr>
                    <a:xfrm>
                      <a:off x="0" y="0"/>
                      <a:ext cx="5274310" cy="6247130"/>
                    </a:xfrm>
                    <a:prstGeom prst="rect">
                      <a:avLst/>
                    </a:prstGeom>
                  </pic:spPr>
                </pic:pic>
              </a:graphicData>
            </a:graphic>
          </wp:inline>
        </w:drawing>
      </w:r>
    </w:p>
    <w:p w14:paraId="5611EB5F"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将追加融资额设定为变动量</w:t>
      </w:r>
    </w:p>
    <w:p w14:paraId="087F8DEE"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计算当前销售额下该追加融资额对应的“负债融资权益净利率”、“权益融资权益净利率”指标；</w:t>
      </w:r>
    </w:p>
    <w:p w14:paraId="2074A4F3"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计算该追加融资额，权益净利率无差别点对应的“销售额”；</w:t>
      </w:r>
    </w:p>
    <w:p w14:paraId="35E8CEAD" w14:textId="77777777" w:rsidR="00C577D9" w:rsidRDefault="00C52813">
      <w:pPr>
        <w:widowControl/>
        <w:snapToGrid w:val="0"/>
        <w:spacing w:line="360" w:lineRule="auto"/>
        <w:rPr>
          <w:rFonts w:ascii="宋体" w:eastAsia="宋体" w:hAnsi="宋体"/>
          <w:szCs w:val="21"/>
        </w:rPr>
      </w:pPr>
      <w:r>
        <w:rPr>
          <w:rFonts w:ascii="宋体" w:eastAsia="宋体" w:hAnsi="宋体" w:hint="eastAsia"/>
          <w:szCs w:val="21"/>
        </w:rPr>
        <w:t>变动融资额，观察权益利润率变化情况。</w:t>
      </w:r>
    </w:p>
    <w:p w14:paraId="3F4D98DE" w14:textId="77777777" w:rsidR="00C577D9" w:rsidRDefault="00C52813">
      <w:pPr>
        <w:widowControl/>
        <w:snapToGrid w:val="0"/>
        <w:spacing w:line="360" w:lineRule="auto"/>
        <w:rPr>
          <w:rFonts w:ascii="宋体" w:eastAsia="宋体" w:hAnsi="宋体" w:cs="Calibri"/>
          <w:b/>
          <w:bCs/>
          <w:kern w:val="0"/>
          <w:szCs w:val="21"/>
        </w:rPr>
      </w:pPr>
      <w:r>
        <w:rPr>
          <w:noProof/>
        </w:rPr>
        <w:lastRenderedPageBreak/>
        <w:drawing>
          <wp:inline distT="0" distB="0" distL="0" distR="0" wp14:anchorId="5F41B705" wp14:editId="77172F1A">
            <wp:extent cx="5057775" cy="2847975"/>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4"/>
                    <a:stretch>
                      <a:fillRect/>
                    </a:stretch>
                  </pic:blipFill>
                  <pic:spPr>
                    <a:xfrm>
                      <a:off x="0" y="0"/>
                      <a:ext cx="5057775" cy="2847975"/>
                    </a:xfrm>
                    <a:prstGeom prst="rect">
                      <a:avLst/>
                    </a:prstGeom>
                  </pic:spPr>
                </pic:pic>
              </a:graphicData>
            </a:graphic>
          </wp:inline>
        </w:drawing>
      </w:r>
    </w:p>
    <w:p w14:paraId="1EEE4435" w14:textId="77777777" w:rsidR="00C577D9" w:rsidRDefault="00C52813">
      <w:pPr>
        <w:widowControl/>
        <w:snapToGrid w:val="0"/>
        <w:spacing w:before="156" w:after="156"/>
        <w:ind w:left="285" w:hanging="285"/>
        <w:rPr>
          <w:rFonts w:ascii="Calibri" w:eastAsia="宋体" w:hAnsi="Calibri" w:cs="Calibri"/>
          <w:kern w:val="0"/>
          <w:szCs w:val="21"/>
        </w:rPr>
      </w:pPr>
      <w:r>
        <w:rPr>
          <w:rFonts w:ascii="宋体" w:eastAsia="宋体" w:hAnsi="宋体" w:cs="Calibri" w:hint="eastAsia"/>
          <w:b/>
          <w:bCs/>
          <w:kern w:val="0"/>
          <w:szCs w:val="21"/>
        </w:rPr>
        <w:t>5</w:t>
      </w:r>
      <w:r>
        <w:rPr>
          <w:rFonts w:ascii="宋体" w:eastAsia="宋体" w:hAnsi="宋体" w:cs="Calibri" w:hint="eastAsia"/>
          <w:b/>
          <w:bCs/>
          <w:kern w:val="0"/>
          <w:szCs w:val="21"/>
        </w:rPr>
        <w:t>、完成融资决策实验报告</w:t>
      </w:r>
    </w:p>
    <w:p w14:paraId="35BB6AA3" w14:textId="77777777" w:rsidR="00C577D9" w:rsidRDefault="00C52813">
      <w:pPr>
        <w:widowControl/>
        <w:snapToGrid w:val="0"/>
        <w:spacing w:before="156" w:after="156"/>
        <w:rPr>
          <w:rFonts w:ascii="Calibri" w:eastAsia="宋体" w:hAnsi="Calibri" w:cs="Calibri"/>
          <w:kern w:val="0"/>
          <w:szCs w:val="21"/>
        </w:rPr>
      </w:pPr>
      <w:r>
        <w:rPr>
          <w:rFonts w:ascii="宋体" w:eastAsia="宋体" w:hAnsi="宋体" w:cs="Calibri" w:hint="eastAsia"/>
          <w:kern w:val="0"/>
          <w:szCs w:val="21"/>
        </w:rPr>
        <w:t>操作步骤：填制报告融</w:t>
      </w:r>
      <w:r>
        <w:rPr>
          <w:rFonts w:ascii="宋体" w:eastAsia="宋体" w:hAnsi="宋体" w:cs="Calibri" w:hint="eastAsia"/>
          <w:kern w:val="0"/>
          <w:szCs w:val="21"/>
        </w:rPr>
        <w:t>资决策实验报告→</w:t>
      </w:r>
      <w:r>
        <w:rPr>
          <w:rFonts w:ascii="宋体" w:eastAsia="宋体" w:hAnsi="宋体" w:cs="Calibri" w:hint="eastAsia"/>
          <w:kern w:val="0"/>
          <w:szCs w:val="21"/>
        </w:rPr>
        <w:t xml:space="preserve"> </w:t>
      </w:r>
      <w:r>
        <w:rPr>
          <w:rFonts w:ascii="宋体" w:eastAsia="宋体" w:hAnsi="宋体" w:cs="Calibri" w:hint="eastAsia"/>
          <w:kern w:val="0"/>
          <w:szCs w:val="21"/>
        </w:rPr>
        <w:t>完成报告</w:t>
      </w:r>
      <w:r>
        <w:rPr>
          <w:rFonts w:ascii="宋体" w:eastAsia="宋体" w:hAnsi="宋体" w:cs="Calibri" w:hint="eastAsia"/>
          <w:kern w:val="0"/>
          <w:szCs w:val="21"/>
        </w:rPr>
        <w:t xml:space="preserve"> </w:t>
      </w:r>
      <w:r>
        <w:rPr>
          <w:rFonts w:ascii="宋体" w:eastAsia="宋体" w:hAnsi="宋体" w:cs="Calibri" w:hint="eastAsia"/>
          <w:kern w:val="0"/>
          <w:szCs w:val="21"/>
        </w:rPr>
        <w:t>→【保存报告】→【提交报告】；提交后可获取得分以及分析参考。</w:t>
      </w:r>
    </w:p>
    <w:p w14:paraId="71F6D0B2" w14:textId="77777777" w:rsidR="00C577D9" w:rsidRDefault="00C52813">
      <w:pPr>
        <w:widowControl/>
        <w:snapToGrid w:val="0"/>
        <w:ind w:left="283"/>
        <w:rPr>
          <w:rFonts w:ascii="Calibri" w:eastAsia="宋体" w:hAnsi="Calibri" w:cs="Calibri"/>
          <w:kern w:val="0"/>
          <w:szCs w:val="21"/>
        </w:rPr>
      </w:pPr>
      <w:r>
        <w:rPr>
          <w:noProof/>
        </w:rPr>
        <w:drawing>
          <wp:inline distT="0" distB="0" distL="0" distR="0" wp14:anchorId="4F76F50D" wp14:editId="21A3D043">
            <wp:extent cx="5274310" cy="369633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5"/>
                    <a:stretch>
                      <a:fillRect/>
                    </a:stretch>
                  </pic:blipFill>
                  <pic:spPr>
                    <a:xfrm>
                      <a:off x="0" y="0"/>
                      <a:ext cx="5274310" cy="3696335"/>
                    </a:xfrm>
                    <a:prstGeom prst="rect">
                      <a:avLst/>
                    </a:prstGeom>
                  </pic:spPr>
                </pic:pic>
              </a:graphicData>
            </a:graphic>
          </wp:inline>
        </w:drawing>
      </w:r>
    </w:p>
    <w:sectPr w:rsidR="00C577D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2DA"/>
    <w:rsid w:val="00005454"/>
    <w:rsid w:val="0005276E"/>
    <w:rsid w:val="0007251F"/>
    <w:rsid w:val="00087B2E"/>
    <w:rsid w:val="00092EC3"/>
    <w:rsid w:val="00095FD4"/>
    <w:rsid w:val="00124EA4"/>
    <w:rsid w:val="0013115E"/>
    <w:rsid w:val="001B4F07"/>
    <w:rsid w:val="001D227A"/>
    <w:rsid w:val="002131DF"/>
    <w:rsid w:val="002A60B3"/>
    <w:rsid w:val="002E00B0"/>
    <w:rsid w:val="00315F15"/>
    <w:rsid w:val="003A5391"/>
    <w:rsid w:val="003B59B3"/>
    <w:rsid w:val="003C2B94"/>
    <w:rsid w:val="003C735F"/>
    <w:rsid w:val="003F4898"/>
    <w:rsid w:val="00413293"/>
    <w:rsid w:val="00414E9A"/>
    <w:rsid w:val="00424410"/>
    <w:rsid w:val="00457335"/>
    <w:rsid w:val="0047738C"/>
    <w:rsid w:val="004A20F3"/>
    <w:rsid w:val="004D6E37"/>
    <w:rsid w:val="00575922"/>
    <w:rsid w:val="00577882"/>
    <w:rsid w:val="005C79AE"/>
    <w:rsid w:val="00600F1D"/>
    <w:rsid w:val="00633FB2"/>
    <w:rsid w:val="0065131C"/>
    <w:rsid w:val="00660867"/>
    <w:rsid w:val="00662CEA"/>
    <w:rsid w:val="00695260"/>
    <w:rsid w:val="006D7725"/>
    <w:rsid w:val="006F75BE"/>
    <w:rsid w:val="0070327E"/>
    <w:rsid w:val="00716653"/>
    <w:rsid w:val="00763446"/>
    <w:rsid w:val="00792DE4"/>
    <w:rsid w:val="007A4396"/>
    <w:rsid w:val="007C6239"/>
    <w:rsid w:val="008123D8"/>
    <w:rsid w:val="008665CB"/>
    <w:rsid w:val="0087636A"/>
    <w:rsid w:val="008A742A"/>
    <w:rsid w:val="008B0484"/>
    <w:rsid w:val="008B7207"/>
    <w:rsid w:val="008C50E5"/>
    <w:rsid w:val="008E6947"/>
    <w:rsid w:val="009101BE"/>
    <w:rsid w:val="00913D29"/>
    <w:rsid w:val="009C425A"/>
    <w:rsid w:val="00A058A1"/>
    <w:rsid w:val="00A10CE1"/>
    <w:rsid w:val="00A32440"/>
    <w:rsid w:val="00A52B07"/>
    <w:rsid w:val="00A64249"/>
    <w:rsid w:val="00AB609F"/>
    <w:rsid w:val="00AC73AC"/>
    <w:rsid w:val="00B82933"/>
    <w:rsid w:val="00BC27D0"/>
    <w:rsid w:val="00BE0001"/>
    <w:rsid w:val="00C01BA0"/>
    <w:rsid w:val="00C25B69"/>
    <w:rsid w:val="00C52813"/>
    <w:rsid w:val="00C577D9"/>
    <w:rsid w:val="00C609AF"/>
    <w:rsid w:val="00C872DA"/>
    <w:rsid w:val="00CD414D"/>
    <w:rsid w:val="00CE1676"/>
    <w:rsid w:val="00D55C60"/>
    <w:rsid w:val="00D570C7"/>
    <w:rsid w:val="00DE75FD"/>
    <w:rsid w:val="00DF5D9E"/>
    <w:rsid w:val="00E018B8"/>
    <w:rsid w:val="00E3476C"/>
    <w:rsid w:val="00E64B39"/>
    <w:rsid w:val="00E77E25"/>
    <w:rsid w:val="00EC6913"/>
    <w:rsid w:val="00ED0E11"/>
    <w:rsid w:val="00F175F5"/>
    <w:rsid w:val="00F50E5E"/>
    <w:rsid w:val="00F77783"/>
    <w:rsid w:val="00FA2F7A"/>
    <w:rsid w:val="00FC45AF"/>
    <w:rsid w:val="00FC6E52"/>
    <w:rsid w:val="00FD0AFE"/>
    <w:rsid w:val="07E02D4A"/>
    <w:rsid w:val="0FA54E72"/>
    <w:rsid w:val="131A519D"/>
    <w:rsid w:val="1B5D70B0"/>
    <w:rsid w:val="1D7F0E76"/>
    <w:rsid w:val="1E773F07"/>
    <w:rsid w:val="2FF50AB5"/>
    <w:rsid w:val="43B524E4"/>
    <w:rsid w:val="54B364B6"/>
    <w:rsid w:val="616E193D"/>
    <w:rsid w:val="6D4D6C4F"/>
    <w:rsid w:val="71833026"/>
    <w:rsid w:val="73EA2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B2700"/>
  <w15:docId w15:val="{D8633B3B-7557-4372-8B47-FFFD6FDE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7">
    <w:name w:val="List Paragraph"/>
    <w:basedOn w:val="a"/>
    <w:uiPriority w:val="34"/>
    <w:qFormat/>
    <w:pPr>
      <w:widowControl/>
      <w:ind w:firstLine="420"/>
    </w:pPr>
    <w:rPr>
      <w:rFonts w:ascii="Calibri" w:eastAsia="宋体" w:hAnsi="Calibri" w:cs="Calibri"/>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1188</Words>
  <Characters>6777</Characters>
  <Application>Microsoft Office Word</Application>
  <DocSecurity>0</DocSecurity>
  <Lines>56</Lines>
  <Paragraphs>15</Paragraphs>
  <ScaleCrop>false</ScaleCrop>
  <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 瞳</dc:creator>
  <cp:lastModifiedBy>吴 瞳</cp:lastModifiedBy>
  <cp:revision>12</cp:revision>
  <dcterms:created xsi:type="dcterms:W3CDTF">2020-10-16T05:41:00Z</dcterms:created>
  <dcterms:modified xsi:type="dcterms:W3CDTF">2020-10-29T01:02:00Z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